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版本号：SXZHZB2025-ZC017-CS20250820001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西安市碑林区社区嵌入式服务设施EPC项目初步设计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SXZHZB2025-ZC017-CS</w:t>
      </w:r>
      <w:r>
        <w:br/>
      </w:r>
      <w:r>
        <w:br/>
      </w:r>
      <w:r>
        <w:br/>
      </w:r>
    </w:p>
    <w:p>
      <w:pPr>
        <w:pStyle w:val="null3"/>
        <w:jc w:val="center"/>
        <w:outlineLvl w:val="2"/>
      </w:pPr>
      <w:r>
        <w:rPr>
          <w:rFonts w:ascii="仿宋_GB2312" w:hAnsi="仿宋_GB2312" w:cs="仿宋_GB2312" w:eastAsia="仿宋_GB2312"/>
          <w:sz w:val="28"/>
          <w:b/>
        </w:rPr>
        <w:t>西安市碑林区民政局（本级）</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西安市碑林区民政局（本级）</w:t>
      </w:r>
      <w:r>
        <w:rPr>
          <w:rFonts w:ascii="仿宋_GB2312" w:hAnsi="仿宋_GB2312" w:cs="仿宋_GB2312" w:eastAsia="仿宋_GB2312"/>
        </w:rPr>
        <w:t>委托，拟对</w:t>
      </w:r>
      <w:r>
        <w:rPr>
          <w:rFonts w:ascii="仿宋_GB2312" w:hAnsi="仿宋_GB2312" w:cs="仿宋_GB2312" w:eastAsia="仿宋_GB2312"/>
        </w:rPr>
        <w:t>西安市碑林区社区嵌入式服务设施EPC项目初步设计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SXZHZB2025-ZC017-CS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西安市碑林区社区嵌入式服务设施EPC项目初步设计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本项目改造面积共计31593.82平方米，其中原有点位提升面积合计23510.41平方米，新增点位提升改造面积合计8083.41平方米。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3、资质要求：供应商应具备工程设计综合资质甲级或建筑行业工程设计乙级及以上资质或建筑行业（建筑工程）乙级及以上资质；</w:t>
      </w:r>
    </w:p>
    <w:p>
      <w:pPr>
        <w:pStyle w:val="null3"/>
      </w:pPr>
      <w:r>
        <w:rPr>
          <w:rFonts w:ascii="仿宋_GB2312" w:hAnsi="仿宋_GB2312" w:cs="仿宋_GB2312" w:eastAsia="仿宋_GB2312"/>
        </w:rPr>
        <w:t>4、项目负责人：具备国家注册建筑师一级执业资格，且在本单位注册；</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029-89625275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的有关规定执行，不足8000元按8000元计取。2、代理服务费由成交供应商支付，在领取《成交通知书》前，由成交供应商一次性支付给陕西纵横项目管理有限公司。3、代理服务费缴纳账户：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西安市碑林区民政局（本级）</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本项目改造面积共计31593.82平方米，其中原有点位提升面积合计23510.41平方米，新增点位提升改造面积合计8083.41平方米。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社区嵌入式服务设施EPC项目初步设计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标的名称：社区嵌入式服务设施EPC项目初步设计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设计范围：包括初步设计、初步设计概算编制、项目实施期间的配合服务等。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pPr>
            <w:r>
              <w:rPr>
                <w:rFonts w:ascii="仿宋_GB2312" w:hAnsi="仿宋_GB2312" w:cs="仿宋_GB2312" w:eastAsia="仿宋_GB2312"/>
              </w:rPr>
              <w:t>服务要求：1）初步阶段</w:t>
            </w:r>
          </w:p>
          <w:p>
            <w:pPr>
              <w:pStyle w:val="null3"/>
            </w:pPr>
            <w:r>
              <w:rPr>
                <w:rFonts w:ascii="仿宋_GB2312" w:hAnsi="仿宋_GB2312" w:cs="仿宋_GB2312" w:eastAsia="仿宋_GB2312"/>
              </w:rPr>
              <w:t>（1）与采购人充分沟通，深入研究项目基础资料，协助采购人提出本项目的设计需求；</w:t>
            </w:r>
          </w:p>
          <w:p>
            <w:pPr>
              <w:pStyle w:val="null3"/>
            </w:pPr>
            <w:r>
              <w:rPr>
                <w:rFonts w:ascii="仿宋_GB2312" w:hAnsi="仿宋_GB2312" w:cs="仿宋_GB2312" w:eastAsia="仿宋_GB2312"/>
              </w:rPr>
              <w:t>（2）完成本项目方案设计，提供满足深度的方案设计图纸；</w:t>
            </w:r>
          </w:p>
          <w:p>
            <w:pPr>
              <w:pStyle w:val="null3"/>
            </w:pPr>
            <w:r>
              <w:rPr>
                <w:rFonts w:ascii="仿宋_GB2312" w:hAnsi="仿宋_GB2312" w:cs="仿宋_GB2312" w:eastAsia="仿宋_GB2312"/>
              </w:rPr>
              <w:t>（3）根据政府部门的审批意见在项目约定的设计范围内对设计方案进行修改和必要的调整，以通过政府部门批准。</w:t>
            </w:r>
          </w:p>
          <w:p>
            <w:pPr>
              <w:pStyle w:val="null3"/>
            </w:pPr>
            <w:r>
              <w:rPr>
                <w:rFonts w:ascii="仿宋_GB2312" w:hAnsi="仿宋_GB2312" w:cs="仿宋_GB2312" w:eastAsia="仿宋_GB2312"/>
              </w:rPr>
              <w:t>2）中期阶段</w:t>
            </w:r>
          </w:p>
          <w:p>
            <w:pPr>
              <w:pStyle w:val="null3"/>
            </w:pPr>
            <w:r>
              <w:rPr>
                <w:rFonts w:ascii="仿宋_GB2312" w:hAnsi="仿宋_GB2312" w:cs="仿宋_GB2312" w:eastAsia="仿宋_GB2312"/>
              </w:rPr>
              <w:t>负责完成并编制本项目初步设计文件，设计内容和深度应满足国家相关规定及采购人的要求；</w:t>
            </w:r>
          </w:p>
          <w:p>
            <w:pPr>
              <w:pStyle w:val="null3"/>
            </w:pPr>
            <w:r>
              <w:rPr>
                <w:rFonts w:ascii="仿宋_GB2312" w:hAnsi="仿宋_GB2312" w:cs="仿宋_GB2312" w:eastAsia="仿宋_GB2312"/>
              </w:rPr>
              <w:t>3）后期阶段</w:t>
            </w:r>
          </w:p>
          <w:p>
            <w:pPr>
              <w:pStyle w:val="null3"/>
            </w:pPr>
            <w:r>
              <w:rPr>
                <w:rFonts w:ascii="仿宋_GB2312" w:hAnsi="仿宋_GB2312" w:cs="仿宋_GB2312" w:eastAsia="仿宋_GB2312"/>
              </w:rPr>
              <w:t>（1）配合施工招标；</w:t>
            </w:r>
          </w:p>
          <w:p>
            <w:pPr>
              <w:pStyle w:val="null3"/>
            </w:pPr>
            <w:r>
              <w:rPr>
                <w:rFonts w:ascii="仿宋_GB2312" w:hAnsi="仿宋_GB2312" w:cs="仿宋_GB2312" w:eastAsia="仿宋_GB2312"/>
              </w:rPr>
              <w:t>（2）初步设计图纸交底。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设计服务期：自合同签订45个日历日完成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服务标准：符合国家现行技术规范“合格”标准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0"/>
            </w:pPr>
            <w:r>
              <w:rPr>
                <w:rFonts w:ascii="仿宋_GB2312" w:hAnsi="仿宋_GB2312" w:cs="仿宋_GB2312" w:eastAsia="仿宋_GB2312"/>
              </w:rPr>
              <w:t>设计依据</w:t>
            </w:r>
          </w:p>
          <w:p>
            <w:pPr>
              <w:pStyle w:val="null3"/>
            </w:pPr>
            <w:r>
              <w:rPr>
                <w:rFonts w:ascii="仿宋_GB2312" w:hAnsi="仿宋_GB2312" w:cs="仿宋_GB2312" w:eastAsia="仿宋_GB2312"/>
              </w:rPr>
              <w:t>1）《建筑工程设计文件编制深度规定》（2016年版）</w:t>
            </w:r>
          </w:p>
          <w:p>
            <w:pPr>
              <w:pStyle w:val="null3"/>
            </w:pPr>
            <w:r>
              <w:rPr>
                <w:rFonts w:ascii="仿宋_GB2312" w:hAnsi="仿宋_GB2312" w:cs="仿宋_GB2312" w:eastAsia="仿宋_GB2312"/>
              </w:rPr>
              <w:t>2）《民用建筑设计统一标准》GB50352-2019</w:t>
            </w:r>
          </w:p>
          <w:p>
            <w:pPr>
              <w:pStyle w:val="null3"/>
            </w:pPr>
            <w:r>
              <w:rPr>
                <w:rFonts w:ascii="仿宋_GB2312" w:hAnsi="仿宋_GB2312" w:cs="仿宋_GB2312" w:eastAsia="仿宋_GB2312"/>
              </w:rPr>
              <w:t>3）《民用建筑通用规范》GB55031-2022</w:t>
            </w:r>
          </w:p>
          <w:p>
            <w:pPr>
              <w:pStyle w:val="null3"/>
            </w:pPr>
            <w:r>
              <w:rPr>
                <w:rFonts w:ascii="仿宋_GB2312" w:hAnsi="仿宋_GB2312" w:cs="仿宋_GB2312" w:eastAsia="仿宋_GB2312"/>
              </w:rPr>
              <w:t>4）《建筑与市政工程无障碍通用规范》GB55019-2021</w:t>
            </w:r>
          </w:p>
          <w:p>
            <w:pPr>
              <w:pStyle w:val="null3"/>
            </w:pPr>
            <w:r>
              <w:rPr>
                <w:rFonts w:ascii="仿宋_GB2312" w:hAnsi="仿宋_GB2312" w:cs="仿宋_GB2312" w:eastAsia="仿宋_GB2312"/>
              </w:rPr>
              <w:t>5）《建筑节能与可再生能源利用通用规范》GB55015-2021</w:t>
            </w:r>
          </w:p>
          <w:p>
            <w:pPr>
              <w:pStyle w:val="null3"/>
            </w:pPr>
            <w:r>
              <w:rPr>
                <w:rFonts w:ascii="仿宋_GB2312" w:hAnsi="仿宋_GB2312" w:cs="仿宋_GB2312" w:eastAsia="仿宋_GB2312"/>
              </w:rPr>
              <w:t>6）《建筑防火通用规范》GB55037-2022</w:t>
            </w:r>
          </w:p>
          <w:p>
            <w:pPr>
              <w:pStyle w:val="null3"/>
            </w:pPr>
            <w:r>
              <w:rPr>
                <w:rFonts w:ascii="仿宋_GB2312" w:hAnsi="仿宋_GB2312" w:cs="仿宋_GB2312" w:eastAsia="仿宋_GB2312"/>
              </w:rPr>
              <w:t>7）《建筑设计防火规范》GB50016-2014（2018年版）</w:t>
            </w:r>
          </w:p>
          <w:p>
            <w:pPr>
              <w:pStyle w:val="null3"/>
            </w:pPr>
            <w:r>
              <w:rPr>
                <w:rFonts w:ascii="仿宋_GB2312" w:hAnsi="仿宋_GB2312" w:cs="仿宋_GB2312" w:eastAsia="仿宋_GB2312"/>
              </w:rPr>
              <w:t>8）《无障碍设计规范》GB50763-2012</w:t>
            </w:r>
          </w:p>
          <w:p>
            <w:pPr>
              <w:pStyle w:val="null3"/>
            </w:pPr>
            <w:r>
              <w:rPr>
                <w:rFonts w:ascii="仿宋_GB2312" w:hAnsi="仿宋_GB2312" w:cs="仿宋_GB2312" w:eastAsia="仿宋_GB2312"/>
              </w:rPr>
              <w:t>9）《建筑内部装修设计防火规范》GB50222-2017（2018修订版）</w:t>
            </w:r>
          </w:p>
          <w:p>
            <w:pPr>
              <w:pStyle w:val="null3"/>
            </w:pPr>
            <w:r>
              <w:rPr>
                <w:rFonts w:ascii="仿宋_GB2312" w:hAnsi="仿宋_GB2312" w:cs="仿宋_GB2312" w:eastAsia="仿宋_GB2312"/>
              </w:rPr>
              <w:t>10）《建筑钢结构防火技术规范》GB51249-2017</w:t>
            </w:r>
          </w:p>
          <w:p>
            <w:pPr>
              <w:pStyle w:val="null3"/>
            </w:pPr>
            <w:r>
              <w:rPr>
                <w:rFonts w:ascii="仿宋_GB2312" w:hAnsi="仿宋_GB2312" w:cs="仿宋_GB2312" w:eastAsia="仿宋_GB2312"/>
              </w:rPr>
              <w:t>11）《老年人照料设施建筑设计标准》JGJ450-2018</w:t>
            </w:r>
          </w:p>
          <w:p>
            <w:pPr>
              <w:pStyle w:val="null3"/>
            </w:pPr>
            <w:r>
              <w:rPr>
                <w:rFonts w:ascii="仿宋_GB2312" w:hAnsi="仿宋_GB2312" w:cs="仿宋_GB2312" w:eastAsia="仿宋_GB2312"/>
              </w:rPr>
              <w:t>12）《社区老年人日间照料中心设施设备配置》GB/T33169-2016</w:t>
            </w:r>
          </w:p>
          <w:p>
            <w:pPr>
              <w:pStyle w:val="null3"/>
            </w:pPr>
            <w:r>
              <w:rPr>
                <w:rFonts w:ascii="仿宋_GB2312" w:hAnsi="仿宋_GB2312" w:cs="仿宋_GB2312" w:eastAsia="仿宋_GB2312"/>
              </w:rPr>
              <w:t>13）《民用建筑工程室内环境污染控制规范》GB50325-2020</w:t>
            </w:r>
          </w:p>
          <w:p>
            <w:pPr>
              <w:pStyle w:val="null3"/>
            </w:pPr>
            <w:r>
              <w:rPr>
                <w:rFonts w:ascii="仿宋_GB2312" w:hAnsi="仿宋_GB2312" w:cs="仿宋_GB2312" w:eastAsia="仿宋_GB2312"/>
              </w:rPr>
              <w:t>14）《民用建筑隔声设计标准》GB50118-2013</w:t>
            </w:r>
          </w:p>
          <w:p>
            <w:pPr>
              <w:pStyle w:val="null3"/>
            </w:pPr>
            <w:r>
              <w:rPr>
                <w:rFonts w:ascii="仿宋_GB2312" w:hAnsi="仿宋_GB2312" w:cs="仿宋_GB2312" w:eastAsia="仿宋_GB2312"/>
              </w:rPr>
              <w:t>15）《陕西省建筑防火设计、审查、验收疑难问题技术指南》</w:t>
            </w:r>
          </w:p>
          <w:p>
            <w:pPr>
              <w:pStyle w:val="null3"/>
            </w:pPr>
            <w:r>
              <w:rPr>
                <w:rFonts w:ascii="仿宋_GB2312" w:hAnsi="仿宋_GB2312" w:cs="仿宋_GB2312" w:eastAsia="仿宋_GB2312"/>
              </w:rPr>
              <w:t>16）国务院办公厅“关于转发国家发展改革委《城市社区嵌入式服务设施建设工程实施方案》的通知”（国办函〔2023〕121号）</w:t>
            </w:r>
          </w:p>
          <w:p>
            <w:pPr>
              <w:pStyle w:val="null3"/>
            </w:pPr>
            <w:r>
              <w:rPr>
                <w:rFonts w:ascii="仿宋_GB2312" w:hAnsi="仿宋_GB2312" w:cs="仿宋_GB2312" w:eastAsia="仿宋_GB2312"/>
              </w:rPr>
              <w:t>17）国家发展改革委、住房城乡建设部、自然资源部关于印发《城市社区嵌入式服务设施建设导则（试行）》的通知（发改社会[2024]5号）</w:t>
            </w:r>
          </w:p>
          <w:p>
            <w:pPr>
              <w:pStyle w:val="null3"/>
            </w:pPr>
            <w:r>
              <w:rPr>
                <w:rFonts w:ascii="仿宋_GB2312" w:hAnsi="仿宋_GB2312" w:cs="仿宋_GB2312" w:eastAsia="仿宋_GB2312"/>
              </w:rPr>
              <w:t>18）陕西省民政厅“关于在城市社区建设嵌入式民政服务设施的通知”陕民发〔2024〕21号；</w:t>
            </w:r>
          </w:p>
          <w:p>
            <w:pPr>
              <w:pStyle w:val="null3"/>
            </w:pPr>
            <w:r>
              <w:rPr>
                <w:rFonts w:ascii="仿宋_GB2312" w:hAnsi="仿宋_GB2312" w:cs="仿宋_GB2312" w:eastAsia="仿宋_GB2312"/>
              </w:rPr>
              <w:t>19）西安市人民政府办公厅关于印发《城市社区嵌入式服务设施建设工程实施方案》的通知（市政办函[2024]19号）</w:t>
            </w:r>
          </w:p>
          <w:p>
            <w:pPr>
              <w:pStyle w:val="null3"/>
            </w:pPr>
            <w:r>
              <w:rPr>
                <w:rFonts w:ascii="仿宋_GB2312" w:hAnsi="仿宋_GB2312" w:cs="仿宋_GB2312" w:eastAsia="仿宋_GB2312"/>
              </w:rPr>
              <w:t>注：须包含但不限于上述所列规范；在设计工作全部结束前，所有规范版本、文件要求如有更新以最新版本为准。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20"/>
            </w:pPr>
            <w:r>
              <w:rPr>
                <w:rFonts w:ascii="仿宋_GB2312" w:hAnsi="仿宋_GB2312" w:cs="仿宋_GB2312" w:eastAsia="仿宋_GB2312"/>
              </w:rPr>
              <w:t>报价方式：供应商根据磋商文件技术标准和要求、依据《国家发展改革委关于进一步放开建设项目专业服务价格的通知》发改价格[2015]299号，并参照国家计委、建设部《工程勘察设计收费管理规定》计价格［2002］10号，结合本项目的实际情况及市场行情自主报价。各供应商依据企业自身情况自主报价，不设下限，磋商文件约定范围内风险自负。</w:t>
            </w:r>
          </w:p>
          <w:p>
            <w:pPr>
              <w:pStyle w:val="null3"/>
            </w:pPr>
            <w:r>
              <w:rPr>
                <w:rFonts w:ascii="仿宋_GB2312" w:hAnsi="仿宋_GB2312" w:cs="仿宋_GB2312" w:eastAsia="仿宋_GB2312"/>
              </w:rPr>
              <w:t>设计费为固定总价，包括但不限于完成初步设计阶段的直接费用、间接费用、税金、利润、相关配合服务工作及合同约定的其他服务，是完成本项目所有服务内容的价格体现。</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技术标准和要求</w:t>
            </w:r>
          </w:p>
          <w:p>
            <w:pPr>
              <w:pStyle w:val="null3"/>
            </w:pPr>
            <w:r>
              <w:rPr>
                <w:rFonts w:ascii="仿宋_GB2312" w:hAnsi="仿宋_GB2312" w:cs="仿宋_GB2312" w:eastAsia="仿宋_GB2312"/>
              </w:rPr>
              <w:t>1）设计成果必须满足国家及地方的有关法律法规、设计规范、技术标准和设计深度要求，符合地方政策性文件以及地方现场的相关规定。</w:t>
            </w:r>
          </w:p>
          <w:p>
            <w:pPr>
              <w:pStyle w:val="null3"/>
            </w:pPr>
            <w:r>
              <w:rPr>
                <w:rFonts w:ascii="仿宋_GB2312" w:hAnsi="仿宋_GB2312" w:cs="仿宋_GB2312" w:eastAsia="仿宋_GB2312"/>
              </w:rPr>
              <w:t>2）工作内容应满足采购人提供的设计合同、设计任务书及过程交流书面文件（联系单、会议纪要等）的要求。</w:t>
            </w:r>
          </w:p>
          <w:p>
            <w:pPr>
              <w:pStyle w:val="null3"/>
            </w:pPr>
            <w:r>
              <w:rPr>
                <w:rFonts w:ascii="仿宋_GB2312" w:hAnsi="仿宋_GB2312" w:cs="仿宋_GB2312" w:eastAsia="仿宋_GB2312"/>
              </w:rPr>
              <w:t>3）图纸采用公制单位标注，汉语简体版文字说明。</w:t>
            </w:r>
          </w:p>
          <w:p>
            <w:pPr>
              <w:pStyle w:val="null3"/>
            </w:pPr>
            <w:r>
              <w:rPr>
                <w:rFonts w:ascii="仿宋_GB2312" w:hAnsi="仿宋_GB2312" w:cs="仿宋_GB2312" w:eastAsia="仿宋_GB2312"/>
              </w:rPr>
              <w:t>4）交付资料要求</w:t>
            </w:r>
          </w:p>
          <w:p>
            <w:pPr>
              <w:pStyle w:val="null3"/>
            </w:pPr>
            <w:r>
              <w:rPr>
                <w:rFonts w:ascii="仿宋_GB2312" w:hAnsi="仿宋_GB2312" w:cs="仿宋_GB2312" w:eastAsia="仿宋_GB2312"/>
              </w:rPr>
              <w:t>（1）方案设计</w:t>
            </w:r>
          </w:p>
          <w:p>
            <w:pPr>
              <w:pStyle w:val="null3"/>
            </w:pPr>
            <w:r>
              <w:rPr>
                <w:rFonts w:ascii="仿宋_GB2312" w:hAnsi="仿宋_GB2312" w:cs="仿宋_GB2312" w:eastAsia="仿宋_GB2312"/>
              </w:rPr>
              <w:t>设计文本统一以A3(420mm*297mm)规格编排装订成册。</w:t>
            </w:r>
          </w:p>
          <w:p>
            <w:pPr>
              <w:pStyle w:val="null3"/>
            </w:pPr>
            <w:r>
              <w:rPr>
                <w:rFonts w:ascii="仿宋_GB2312" w:hAnsi="仿宋_GB2312" w:cs="仿宋_GB2312" w:eastAsia="仿宋_GB2312"/>
              </w:rPr>
              <w:t>文本数量3份。</w:t>
            </w:r>
          </w:p>
          <w:p>
            <w:pPr>
              <w:pStyle w:val="null3"/>
            </w:pPr>
            <w:r>
              <w:rPr>
                <w:rFonts w:ascii="仿宋_GB2312" w:hAnsi="仿宋_GB2312" w:cs="仿宋_GB2312" w:eastAsia="仿宋_GB2312"/>
              </w:rPr>
              <w:t>（2）初步设计</w:t>
            </w:r>
          </w:p>
          <w:p>
            <w:pPr>
              <w:pStyle w:val="null3"/>
            </w:pPr>
            <w:r>
              <w:rPr>
                <w:rFonts w:ascii="仿宋_GB2312" w:hAnsi="仿宋_GB2312" w:cs="仿宋_GB2312" w:eastAsia="仿宋_GB2312"/>
              </w:rPr>
              <w:t>设计说明书（A4）、初步设计图纸（A3）、设计概算（A4）各3份。</w:t>
            </w:r>
          </w:p>
          <w:p>
            <w:pPr>
              <w:pStyle w:val="null3"/>
            </w:pPr>
            <w:r>
              <w:rPr>
                <w:rFonts w:ascii="仿宋_GB2312" w:hAnsi="仿宋_GB2312" w:cs="仿宋_GB2312" w:eastAsia="仿宋_GB2312"/>
              </w:rPr>
              <w:t>（2）电子文件</w:t>
            </w:r>
          </w:p>
          <w:p>
            <w:pPr>
              <w:pStyle w:val="null3"/>
            </w:pPr>
            <w:r>
              <w:rPr>
                <w:rFonts w:ascii="仿宋_GB2312" w:hAnsi="仿宋_GB2312" w:cs="仿宋_GB2312" w:eastAsia="仿宋_GB2312"/>
              </w:rPr>
              <w:t>提供以上设计文件U盘2套。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自合同签订45个日历日完成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合同签订，完成初步设计、初步设计概算编制（含电子版）并配合采购人取得初步设计批复后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包括但不限于完成初步设计阶段的直接费用、间接费用、税金、利润、相关配合服务工作及合同约定的其他服务，是完成本项目所有服务内容的价格体现。任何有选择的报价将不予接受，否则按无效磋商处理。 （2）项目属性：服务。 （3）本项目所属行业为：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（5）被授权代表开标前三个月内任意一个月在本单位的社保缴纳证明。 （6）本项目是否属于信用担保试点范围：否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响应文件封面 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供应商应具备工程设计综合资质甲级或建筑行业工程设计乙级及以上资质或建筑行业（建筑工程）乙级及以上资质；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具备国家注册建筑师一级执业资格，且在本单位注册；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其它说明 陕西省政府采购供应商拒绝政府采购领域商业贿赂承诺书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服务期、服务标准</w:t>
            </w:r>
          </w:p>
        </w:tc>
        <w:tc>
          <w:tcPr>
            <w:tcW w:type="dxa" w:w="3322"/>
          </w:tcPr>
          <w:p>
            <w:pPr>
              <w:pStyle w:val="null3"/>
            </w:pPr>
            <w:r>
              <w:rPr>
                <w:rFonts w:ascii="仿宋_GB2312" w:hAnsi="仿宋_GB2312" w:cs="仿宋_GB2312" w:eastAsia="仿宋_GB2312"/>
              </w:rPr>
              <w:t>应满足磋商文件中要求的服务期、服务标准</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对方案设计工作的理解</w:t>
            </w:r>
          </w:p>
        </w:tc>
        <w:tc>
          <w:tcPr>
            <w:tcW w:type="dxa" w:w="2492"/>
          </w:tcPr>
          <w:p>
            <w:pPr>
              <w:pStyle w:val="null3"/>
            </w:pPr>
            <w:r>
              <w:rPr>
                <w:rFonts w:ascii="仿宋_GB2312" w:hAnsi="仿宋_GB2312" w:cs="仿宋_GB2312" w:eastAsia="仿宋_GB2312"/>
              </w:rPr>
              <w:t>对方案设计工作的项目背景、工作内容和要求、工作范围、基础资料调查等理解准确、全面、分析到位得[14-20]分；对方案设计工作的项目背景、工作内容和要求、工作范围、基础资料调查等理解准确性一般、分析不够全面得[7-14）分；对方案设计工作的项目背景、工作内容和要求、工作范围、基础资料调查等理解不够准确，分析简单得[0-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方案设计总体思路</w:t>
            </w:r>
          </w:p>
        </w:tc>
        <w:tc>
          <w:tcPr>
            <w:tcW w:type="dxa" w:w="2492"/>
          </w:tcPr>
          <w:p>
            <w:pPr>
              <w:pStyle w:val="null3"/>
            </w:pPr>
            <w:r>
              <w:rPr>
                <w:rFonts w:ascii="仿宋_GB2312" w:hAnsi="仿宋_GB2312" w:cs="仿宋_GB2312" w:eastAsia="仿宋_GB2312"/>
              </w:rPr>
              <w:t>对方案设计总体思路清晰，涵盖内容全面，符合采购要求的得[14-20]分；对方案设计总体思路清晰，涵盖内容较全面，基本符合采购要求得[7-14）分；对方案设计总体思路不太清晰，涵盖内容不够全面，与采购要求有少量偏差得[0-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重点难点分析及措施</w:t>
            </w:r>
          </w:p>
        </w:tc>
        <w:tc>
          <w:tcPr>
            <w:tcW w:type="dxa" w:w="2492"/>
          </w:tcPr>
          <w:p>
            <w:pPr>
              <w:pStyle w:val="null3"/>
            </w:pPr>
            <w:r>
              <w:rPr>
                <w:rFonts w:ascii="仿宋_GB2312" w:hAnsi="仿宋_GB2312" w:cs="仿宋_GB2312" w:eastAsia="仿宋_GB2312"/>
              </w:rPr>
              <w:t>工作重点难点分析准确、对策合理、可行得[7-10]分；工作重点难点分析比较准确、对策较合理，较可行得[4-7）分；工作重点难点分析一般、对策勉强可行得[0-4）分。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有完整的工作计划，进度保证措施具体可行，针对性强得[7-10]分；有较完整的工作计划，进度保证措施比较可行，针对性较强得[4-7）分，工作计划混乱，进度保证措施可行性差，针对性差得[0-4）分。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有完整的质量保证体系和质量保证措施，质量保证措施具体可行，针对性强，能保证项目高质量完成得[3-5）分；质量保证体系和质量保证措施一般，质量保证措施可行度一般，针对性一般，基本能保证项目完成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组织、配合及协调措施</w:t>
            </w:r>
          </w:p>
        </w:tc>
        <w:tc>
          <w:tcPr>
            <w:tcW w:type="dxa" w:w="2492"/>
          </w:tcPr>
          <w:p>
            <w:pPr>
              <w:pStyle w:val="null3"/>
            </w:pPr>
            <w:r>
              <w:rPr>
                <w:rFonts w:ascii="仿宋_GB2312" w:hAnsi="仿宋_GB2312" w:cs="仿宋_GB2312" w:eastAsia="仿宋_GB2312"/>
              </w:rPr>
              <w:t>组织、配合及协调保障全面、应对措施完整可行得[3-5]分；组织、配合及协调保障一般，应对措施基本可行得[0-3）分。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拟派人员组成情况</w:t>
            </w:r>
          </w:p>
        </w:tc>
        <w:tc>
          <w:tcPr>
            <w:tcW w:type="dxa" w:w="2492"/>
          </w:tcPr>
          <w:p>
            <w:pPr>
              <w:pStyle w:val="null3"/>
            </w:pPr>
            <w:r>
              <w:rPr>
                <w:rFonts w:ascii="仿宋_GB2312" w:hAnsi="仿宋_GB2312" w:cs="仿宋_GB2312" w:eastAsia="仿宋_GB2312"/>
              </w:rPr>
              <w:t>各供应商拟派专业人员情况，依据各供应商所附拟派人员执业情况相关材料，由磋商小组自主评分，优秀得[7-10]分，良好得[4-7）分，一般得[0-4）分。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针对本项目的人员配备及工作时效性、工作质量等内容作出承诺，优秀得[3-5]分，一般得[0-3）分。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供应商近三年（2022年1月至今，以签订合同时间为准）具有类似项目业绩，每提供一个得2.5分，最高得5分。 注：业绩证明资料以合同为准。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1.经初审合格的磋商响应文件，其磋商报价为有效报价。对符合政策性扣减的有效磋商报价进行政策性扣减，并依据扣减后的价格（评审价格）进行价格评审。 2.满足磋商文件实质性要求且最终报价最低的供应商的价格为磋商基准价，其价格分为满分10分。 3.磋商报价得分=（磋商基准价/最终评审磋商报价）×10的公式计算得分。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详见附件：其它说明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