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版本号：RC2025-XD-26-0820250826001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碑林区综治视联系统网络服务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RC2025-XD-26-08</w:t>
      </w:r>
      <w:r>
        <w:br/>
      </w:r>
      <w:r>
        <w:br/>
      </w:r>
      <w:r>
        <w:br/>
      </w:r>
    </w:p>
    <w:p>
      <w:pPr>
        <w:pStyle w:val="null3"/>
        <w:jc w:val="center"/>
        <w:outlineLvl w:val="5"/>
      </w:pPr>
      <w:r>
        <w:rPr>
          <w:rFonts w:ascii="仿宋_GB2312" w:hAnsi="仿宋_GB2312" w:cs="仿宋_GB2312" w:eastAsia="仿宋_GB2312"/>
          <w:sz w:val="15"/>
          <w:b/>
        </w:rPr>
        <w:t>中共西安市碑林区委社会工作部（本级）</w:t>
      </w:r>
    </w:p>
    <w:p>
      <w:pPr>
        <w:pStyle w:val="null3"/>
        <w:jc w:val="center"/>
        <w:outlineLvl w:val="5"/>
      </w:pPr>
      <w:r>
        <w:rPr>
          <w:rFonts w:ascii="仿宋_GB2312" w:hAnsi="仿宋_GB2312" w:cs="仿宋_GB2312" w:eastAsia="仿宋_GB2312"/>
          <w:sz w:val="15"/>
          <w:b/>
        </w:rPr>
        <w:t>锐驰项目管理有限公司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锐驰项目管理有限公司</w:t>
      </w:r>
      <w:r>
        <w:rPr>
          <w:rFonts w:ascii="仿宋_GB2312" w:hAnsi="仿宋_GB2312" w:cs="仿宋_GB2312" w:eastAsia="仿宋_GB2312"/>
        </w:rPr>
        <w:t>（以下简称“代理机构”）受</w:t>
      </w:r>
      <w:r>
        <w:rPr>
          <w:rFonts w:ascii="仿宋_GB2312" w:hAnsi="仿宋_GB2312" w:cs="仿宋_GB2312" w:eastAsia="仿宋_GB2312"/>
        </w:rPr>
        <w:t>中共西安市碑林区委社会工作部（本级）</w:t>
      </w:r>
      <w:r>
        <w:rPr>
          <w:rFonts w:ascii="仿宋_GB2312" w:hAnsi="仿宋_GB2312" w:cs="仿宋_GB2312" w:eastAsia="仿宋_GB2312"/>
        </w:rPr>
        <w:t>委托，拟对</w:t>
      </w:r>
      <w:r>
        <w:rPr>
          <w:rFonts w:ascii="仿宋_GB2312" w:hAnsi="仿宋_GB2312" w:cs="仿宋_GB2312" w:eastAsia="仿宋_GB2312"/>
        </w:rPr>
        <w:t>碑林区综治视联系统网络服务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RC2025-XD-26-08</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碑林区综治视联系统网络服务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碑林区综治视联系统项目始建于2022年，并于当年建成区、街道、社区三级共107个点位。系统建成后，全区形成了一个横到边、纵到底的大型社会治理视频通信网络，实现如高清视频会议、视频监控、远程培训、智能化监控分析、应急指挥、视频电话等多场合实时办公。运行以来，多次通过视联系统实现对覆盖面广、涉及人数多、组织难度高、实时信息需求度高的各类业务进行深度推进，尤其在汛期、信访维稳、培训研判等事项上，通过系统的深度运用从空间、时间上争取高效。现需对107个点位进行视频网络信号联通、保障及运维。2024年，由于机构改革，该系统未明确管理单位，相关系统服务费用未接续支付。2025年，按照全市综治中心建设工作要求和我区工作部署分工，由区委社会工作部推进相关信息化建设任务，负责综治视联系统的管理、运行。</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 事业单位法人证书、自然人身份证明：供应商为具有独立承担民事责任能力的法人或其他组织或自然人，并提供法人或者其他组织合法 有 效的营业执照等证明文件，事业单位应提供事业单位法人证书，自然人应提供身份证明文件；</w:t>
      </w:r>
    </w:p>
    <w:p>
      <w:pPr>
        <w:pStyle w:val="null3"/>
      </w:pPr>
      <w:r>
        <w:rPr>
          <w:rFonts w:ascii="仿宋_GB2312" w:hAnsi="仿宋_GB2312" w:cs="仿宋_GB2312" w:eastAsia="仿宋_GB2312"/>
        </w:rPr>
        <w:t>2、法人身份证复印件或法定代表人授权书及被授权人身份证复印件：供应商应授权合法的人员参加谈判全过程，其中法定代表人直接参加谈判的，须出具法人身份证 复 印件，并与营业执照上信息一致。法定代表人授权他人参加谈判的，须出具法定代表人授权书 及被 授权人身份证复印件；</w:t>
      </w:r>
    </w:p>
    <w:p>
      <w:pPr>
        <w:pStyle w:val="null3"/>
      </w:pPr>
      <w:r>
        <w:rPr>
          <w:rFonts w:ascii="仿宋_GB2312" w:hAnsi="仿宋_GB2312" w:cs="仿宋_GB2312" w:eastAsia="仿宋_GB2312"/>
        </w:rPr>
        <w:t>3、财务会计制度的证明材料：供应商应提供财务状况报告（以下两种方式任选其一）1．2024年度经审计的财务会计报告（至少包括审计报告、资产负债表、利润表、现金流量表、所有者权益变动表及其附注，成立时间至提 交响应文件截止时间不足一年的可提供成立后任意时段的资产负债表）；2．提交响应文件截止时 间前三个月内其基本账户开户银行出具的资信证明（附基本存款账户信息）。</w:t>
      </w:r>
    </w:p>
    <w:p>
      <w:pPr>
        <w:pStyle w:val="null3"/>
      </w:pPr>
      <w:r>
        <w:rPr>
          <w:rFonts w:ascii="仿宋_GB2312" w:hAnsi="仿宋_GB2312" w:cs="仿宋_GB2312" w:eastAsia="仿宋_GB2312"/>
        </w:rPr>
        <w:t>4、税收缴纳证明：提供2025年1月至今任意时段已缴纳完税凭证或税务机关开具的完税证明（任意税种）；依法免税的应提供相关文件证明；</w:t>
      </w:r>
    </w:p>
    <w:p>
      <w:pPr>
        <w:pStyle w:val="null3"/>
      </w:pPr>
      <w:r>
        <w:rPr>
          <w:rFonts w:ascii="仿宋_GB2312" w:hAnsi="仿宋_GB2312" w:cs="仿宋_GB2312" w:eastAsia="仿宋_GB2312"/>
        </w:rPr>
        <w:t>5、社保缴纳证明：提供2025年1月至今任意时段已缴纳的社会保障资金缴存单据或社保机构开具的社会保险参保缴 费情况证明；依法不需要缴纳社会保障资金的应提供相关文件证明；</w:t>
      </w:r>
    </w:p>
    <w:p>
      <w:pPr>
        <w:pStyle w:val="null3"/>
      </w:pPr>
      <w:r>
        <w:rPr>
          <w:rFonts w:ascii="仿宋_GB2312" w:hAnsi="仿宋_GB2312" w:cs="仿宋_GB2312" w:eastAsia="仿宋_GB2312"/>
        </w:rPr>
        <w:t>6、具备履行合同所必需的设备和专业技术能力：具备履行合同所必需的设备和专业技术能力</w:t>
      </w:r>
    </w:p>
    <w:p>
      <w:pPr>
        <w:pStyle w:val="null3"/>
      </w:pPr>
      <w:r>
        <w:rPr>
          <w:rFonts w:ascii="仿宋_GB2312" w:hAnsi="仿宋_GB2312" w:cs="仿宋_GB2312" w:eastAsia="仿宋_GB2312"/>
        </w:rPr>
        <w:t>7、参加政府采购活动前3年内，在经营活动中没有重大违法记录：参加政府采购活动前3年内，在经营活动中没有重大违法记录</w:t>
      </w:r>
    </w:p>
    <w:p>
      <w:pPr>
        <w:pStyle w:val="null3"/>
      </w:pPr>
      <w:r>
        <w:rPr>
          <w:rFonts w:ascii="仿宋_GB2312" w:hAnsi="仿宋_GB2312" w:cs="仿宋_GB2312" w:eastAsia="仿宋_GB2312"/>
        </w:rPr>
        <w:t>8、供应商信用：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失信主体、政府采购严重违法失信行为记录名单中的供应商参加本项目的采购活动。</w:t>
      </w:r>
    </w:p>
    <w:p>
      <w:pPr>
        <w:pStyle w:val="null3"/>
      </w:pPr>
      <w:r>
        <w:rPr>
          <w:rFonts w:ascii="仿宋_GB2312" w:hAnsi="仿宋_GB2312" w:cs="仿宋_GB2312" w:eastAsia="仿宋_GB2312"/>
        </w:rPr>
        <w:t>9、本项目不接受联合体投标：供应商应提供《非联合体投标声明》，视为独立投标。</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中共西安市碑林区委社会工作部（本级）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西安市碑林区南院门27号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冯朝</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029-89620969</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锐驰项目管理有限公司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西安市雁塔区朱雀大街南段汇成天玺C座11层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029-88669622转801</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采购包1：563,570.00元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采购包1：563,570.00元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颁发的《招标代理服务收费管理暂行办法》（计价格[2002]1980号）和国家发展改革委员会办公厅颁发的《关于招标代理服务收费有关问题的通知》（发改办价格[2003]857号）文规定的“服务”收费标准。</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中共西安市碑林区委社会工作部（本级）</w:t>
      </w:r>
      <w:r>
        <w:rPr>
          <w:rFonts w:ascii="仿宋_GB2312" w:hAnsi="仿宋_GB2312" w:cs="仿宋_GB2312" w:eastAsia="仿宋_GB2312"/>
        </w:rPr>
        <w:t>和</w:t>
      </w:r>
      <w:r>
        <w:rPr>
          <w:rFonts w:ascii="仿宋_GB2312" w:hAnsi="仿宋_GB2312" w:cs="仿宋_GB2312" w:eastAsia="仿宋_GB2312"/>
        </w:rPr>
        <w:t>锐驰项目管理有限公司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锐驰项目管理有限公司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中共西安市碑林区委社会工作部（本级）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锐驰项目管理有限公司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新装线路试用一个月，线路运行稳定，两端数据传输正常，运营商提交该线路检验报告。</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锐驰项目管理有限公司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锐驰项目管理有限公司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锐驰项目管理有限公司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碑林区综治视联系统项目始建于2022年，并于当年建成区、街道、社区三级共107个点位。系统建成后，全区形成了一个横到边、纵到底的大型社会治理视频通信网络，实现如高清视频会议、视频监控、远程培训、智能化监控分析、应急指挥、视频电话等多场合实时办公。运行以来，多次通过视联系统实现对覆盖面广、涉及人数多、组织难度高、实时信息需求度高的各类业务进行深度推进，尤其在汛期、信访维稳、培训研判等事项上，通过系统的深度运用从空间、时间上争取高效。现需对107个点位进行视频网络信号联通、保障及运维。2024年，由于机构改革，该系统未明确管理单位，相关系统服务费用未接续支付。2025年，按照全市综治中心建设工作要求和我区工作部署分工，由区委社会工作部推进相关信息化建设任务，负责综治视联系统的管理、运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563,570.00</w:t>
      </w:r>
    </w:p>
    <w:p>
      <w:pPr>
        <w:pStyle w:val="null3"/>
      </w:pPr>
      <w:r>
        <w:rPr>
          <w:rFonts w:ascii="仿宋_GB2312" w:hAnsi="仿宋_GB2312" w:cs="仿宋_GB2312" w:eastAsia="仿宋_GB2312"/>
        </w:rPr>
        <w:t>采购包最高限价（元）: 563,570.00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碑林区综治视联系统网络服务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563,570.00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标的名称：碑林区综治视联系统网络服务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24"/>
              </w:rPr>
              <w:t>一、服务内容</w:t>
            </w:r>
          </w:p>
          <w:p>
            <w:pPr>
              <w:pStyle w:val="null3"/>
              <w:ind w:firstLine="640"/>
              <w:jc w:val="both"/>
            </w:pPr>
            <w:r>
              <w:rPr>
                <w:rFonts w:ascii="仿宋_GB2312" w:hAnsi="仿宋_GB2312" w:cs="仿宋_GB2312" w:eastAsia="仿宋_GB2312"/>
                <w:sz w:val="24"/>
                <w:color w:val="000000"/>
              </w:rPr>
              <w:t>通讯网络保障：</w:t>
            </w:r>
          </w:p>
          <w:p>
            <w:pPr>
              <w:pStyle w:val="null3"/>
              <w:ind w:firstLine="64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、区、街道两级综治中心视频网络信号联通、保障及运维；</w:t>
            </w:r>
          </w:p>
          <w:p>
            <w:pPr>
              <w:pStyle w:val="null3"/>
              <w:ind w:firstLine="64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、社区视联系统点位的网络信号联通、保障及运维；</w:t>
            </w:r>
          </w:p>
          <w:p>
            <w:pPr>
              <w:pStyle w:val="null3"/>
              <w:ind w:firstLine="640"/>
              <w:jc w:val="both"/>
            </w:pPr>
            <w:r>
              <w:rPr>
                <w:rFonts w:ascii="仿宋_GB2312" w:hAnsi="仿宋_GB2312" w:cs="仿宋_GB2312" w:eastAsia="仿宋_GB2312"/>
                <w:sz w:val="24"/>
              </w:rPr>
              <w:t>二、技术要求</w:t>
            </w:r>
          </w:p>
          <w:p>
            <w:pPr>
              <w:pStyle w:val="null3"/>
              <w:ind w:firstLine="640"/>
              <w:jc w:val="both"/>
            </w:pPr>
            <w:r>
              <w:rPr>
                <w:rFonts w:ascii="仿宋_GB2312" w:hAnsi="仿宋_GB2312" w:cs="仿宋_GB2312" w:eastAsia="仿宋_GB2312"/>
                <w:sz w:val="24"/>
                <w:color w:val="000000"/>
              </w:rPr>
              <w:t>对全区综治视联系统网络服务的连接、调通、测试，服务过程中出现的技术故障，负责故障的处理。</w:t>
            </w:r>
          </w:p>
          <w:p>
            <w:pPr>
              <w:pStyle w:val="null3"/>
              <w:ind w:firstLine="640"/>
              <w:jc w:val="both"/>
            </w:pPr>
            <w:r>
              <w:rPr>
                <w:rFonts w:ascii="仿宋_GB2312" w:hAnsi="仿宋_GB2312" w:cs="仿宋_GB2312" w:eastAsia="仿宋_GB2312"/>
                <w:sz w:val="24"/>
              </w:rPr>
              <w:t>三、服务要求</w:t>
            </w:r>
          </w:p>
          <w:p>
            <w:pPr>
              <w:pStyle w:val="null3"/>
              <w:ind w:firstLine="640"/>
              <w:jc w:val="both"/>
            </w:pPr>
            <w:r>
              <w:rPr>
                <w:rFonts w:ascii="仿宋_GB2312" w:hAnsi="仿宋_GB2312" w:cs="仿宋_GB2312" w:eastAsia="仿宋_GB2312"/>
                <w:sz w:val="24"/>
                <w:color w:val="000000"/>
              </w:rPr>
              <w:t>在合同执行过程中需要服务商应执行的相关服务标准和应当履行的相关义务。</w:t>
            </w:r>
          </w:p>
          <w:p>
            <w:pPr>
              <w:pStyle w:val="null3"/>
              <w:ind w:firstLine="64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、安排专门联络联系综治视联系统的点位建设和通信保障。</w:t>
            </w:r>
          </w:p>
          <w:p>
            <w:pPr>
              <w:pStyle w:val="null3"/>
              <w:ind w:firstLine="64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、重点特殊时期按照应急预案要求增派人员开展技术保障工作。</w:t>
            </w:r>
          </w:p>
          <w:p>
            <w:pPr>
              <w:pStyle w:val="null3"/>
              <w:ind w:firstLine="640"/>
              <w:jc w:val="both"/>
            </w:pPr>
            <w:r>
              <w:rPr>
                <w:rFonts w:ascii="仿宋_GB2312" w:hAnsi="仿宋_GB2312" w:cs="仿宋_GB2312" w:eastAsia="仿宋_GB2312"/>
                <w:sz w:val="24"/>
              </w:rPr>
              <w:t>四、其他</w:t>
            </w:r>
          </w:p>
          <w:p>
            <w:pPr>
              <w:pStyle w:val="null3"/>
              <w:ind w:firstLine="640"/>
              <w:jc w:val="both"/>
            </w:pPr>
            <w:r>
              <w:rPr>
                <w:rFonts w:ascii="仿宋_GB2312" w:hAnsi="仿宋_GB2312" w:cs="仿宋_GB2312" w:eastAsia="仿宋_GB2312"/>
                <w:sz w:val="24"/>
                <w:color w:val="000000"/>
              </w:rPr>
              <w:t>（一）</w:t>
            </w:r>
            <w:r>
              <w:rPr>
                <w:rFonts w:ascii="仿宋_GB2312" w:hAnsi="仿宋_GB2312" w:cs="仿宋_GB2312" w:eastAsia="仿宋_GB2312"/>
                <w:sz w:val="24"/>
                <w:color w:val="000000"/>
              </w:rPr>
              <w:t>进度要求</w:t>
            </w:r>
          </w:p>
          <w:p>
            <w:pPr>
              <w:pStyle w:val="null3"/>
              <w:ind w:firstLine="640"/>
              <w:jc w:val="both"/>
            </w:pPr>
            <w:r>
              <w:rPr>
                <w:rFonts w:ascii="仿宋_GB2312" w:hAnsi="仿宋_GB2312" w:cs="仿宋_GB2312" w:eastAsia="仿宋_GB2312"/>
                <w:sz w:val="24"/>
                <w:color w:val="000000"/>
              </w:rPr>
              <w:t xml:space="preserve">  合同签订后1年内，保证全区综治视联系统通信正常。</w:t>
            </w:r>
          </w:p>
          <w:p>
            <w:pPr>
              <w:pStyle w:val="null3"/>
              <w:ind w:firstLine="640"/>
              <w:jc w:val="both"/>
            </w:pPr>
            <w:r>
              <w:rPr>
                <w:rFonts w:ascii="仿宋_GB2312" w:hAnsi="仿宋_GB2312" w:cs="仿宋_GB2312" w:eastAsia="仿宋_GB2312"/>
                <w:sz w:val="24"/>
                <w:color w:val="000000"/>
              </w:rPr>
              <w:t>（二）成果交付要求</w:t>
            </w:r>
          </w:p>
          <w:p>
            <w:pPr>
              <w:pStyle w:val="null3"/>
              <w:ind w:firstLine="640"/>
              <w:jc w:val="both"/>
            </w:pPr>
            <w:r>
              <w:rPr>
                <w:rFonts w:ascii="仿宋_GB2312" w:hAnsi="仿宋_GB2312" w:cs="仿宋_GB2312" w:eastAsia="仿宋_GB2312"/>
                <w:sz w:val="24"/>
                <w:color w:val="000000"/>
              </w:rPr>
              <w:t xml:space="preserve">  全区各点位综治视联系统网络调测成功的表格或记录单据。</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合同签订后1年内，保证全区综治视联系统通信正常。</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项目实施完成，并验收合格后3个月内，支付总价款的100%</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新装线路试用一个月，线路运行稳定，两端数据传输正常，运营商提交该线路检验报告。</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甲乙双方如对协议条款规定的理解有异议，或者对与协议有关的事项发生争议，合 同执行中发生争议的，甲、乙双方应协商解决，协商达不成一致时，可向甲方所在地人民法院提请诉讼。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供应商报价不允许超过最高限价。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供应商应提供财务状况报告（以下两种方式任选其一）1．2024年度经审计的财务会计报告（至少包括审计报告、资产负债表、利润表、现金流量表、所有者权益变动表及其附注，成立时间至提 交响应文件截止时间不足一年的可提供成立后任意时段的资产负债表）；2．提交响应文件截止时 间前三个月内其基本账户开户银行出具的资信证明（附基本存款账户信息）。</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 事业单位法人证书、自然人身份证明</w:t>
            </w:r>
          </w:p>
        </w:tc>
        <w:tc>
          <w:tcPr>
            <w:tcW w:type="dxa" w:w="3322"/>
          </w:tcPr>
          <w:p>
            <w:pPr>
              <w:pStyle w:val="null3"/>
            </w:pPr>
            <w:r>
              <w:rPr>
                <w:rFonts w:ascii="仿宋_GB2312" w:hAnsi="仿宋_GB2312" w:cs="仿宋_GB2312" w:eastAsia="仿宋_GB2312"/>
              </w:rPr>
              <w:t>供应商为具有独立承担民事责任能力的法人或其他组织或自然人，并提供法人或者其他组织合法 有 效的营业执照等证明文件，事业单位应提供事业单位法人证书，自然人应提供身份证明文件；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法人身份证复印件或法定代表人授权书及被授权人身份证复印件</w:t>
            </w:r>
          </w:p>
        </w:tc>
        <w:tc>
          <w:tcPr>
            <w:tcW w:type="dxa" w:w="3322"/>
          </w:tcPr>
          <w:p>
            <w:pPr>
              <w:pStyle w:val="null3"/>
            </w:pPr>
            <w:r>
              <w:rPr>
                <w:rFonts w:ascii="仿宋_GB2312" w:hAnsi="仿宋_GB2312" w:cs="仿宋_GB2312" w:eastAsia="仿宋_GB2312"/>
              </w:rPr>
              <w:t>供应商应授权合法的人员参加谈判全过程，其中法定代表人直接参加谈判的，须出具法人身份证 复 印件，并与营业执照上信息一致。法定代表人授权他人参加谈判的，须出具法定代表人授权书 及被 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财务会计制度的证明材料</w:t>
            </w:r>
          </w:p>
        </w:tc>
        <w:tc>
          <w:tcPr>
            <w:tcW w:type="dxa" w:w="3322"/>
          </w:tcPr>
          <w:p>
            <w:pPr>
              <w:pStyle w:val="null3"/>
            </w:pPr>
            <w:r>
              <w:rPr>
                <w:rFonts w:ascii="仿宋_GB2312" w:hAnsi="仿宋_GB2312" w:cs="仿宋_GB2312" w:eastAsia="仿宋_GB2312"/>
              </w:rPr>
              <w:t>供应商应提供财务状况报告（以下两种方式任选其一）1．2024年度经审计的财务会计报告（至少包括审计报告、资产负债表、利润表、现金流量表、所有者权益变动表及其附注，成立时间至提 交响应文件截止时间不足一年的可提供成立后任意时段的资产负债表）；2．提交响应文件截止时 间前三个月内其基本账户开户银行出具的资信证明（附基本存款账户信息）。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提供2025年1月至今任意时段已缴纳完税凭证或税务机关开具的完税证明（任意税种）；依法免税的应提供相关文件证明；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提供2025年1月至今任意时段已缴纳的社会保障资金缴存单据或社保机构开具的社会保险参保缴 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参加政府采购活动前3年内，在经营活动中没有重大违法记录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失信主体、政府采购严重违法失信行为记录名单中的供应商参加本项目的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供应商应提供《非联合体投标声明》，视为独立投标。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供应商按照谈判文件要求上传响应文件</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供应商业绩证明材料.docx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审过程中，谈判小组认为供应商响应报价明显低于其他通过符合性审查供应商的响应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响应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供应商按照谈判文件要求上传响应文件</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供应商业绩证明材料.docx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响应文件的签字盖章</w:t>
            </w:r>
          </w:p>
        </w:tc>
        <w:tc>
          <w:tcPr>
            <w:tcW w:type="dxa" w:w="3322"/>
          </w:tcPr>
          <w:p>
            <w:pPr>
              <w:pStyle w:val="null3"/>
            </w:pPr>
            <w:r>
              <w:rPr>
                <w:rFonts w:ascii="仿宋_GB2312" w:hAnsi="仿宋_GB2312" w:cs="仿宋_GB2312" w:eastAsia="仿宋_GB2312"/>
              </w:rPr>
              <w:t>响应文件上法定代表人或其委托代理人的签字齐全并加盖单位章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供应商业绩证明材料.docx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应符合响应文件要求</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供应商业绩证明材料.docx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应满足谈判文件规定的服务期限</w:t>
            </w:r>
          </w:p>
        </w:tc>
        <w:tc>
          <w:tcPr>
            <w:tcW w:type="dxa" w:w="1661"/>
          </w:tcPr>
          <w:p>
            <w:pPr>
              <w:pStyle w:val="null3"/>
            </w:pPr>
            <w:r>
              <w:rPr>
                <w:rFonts w:ascii="仿宋_GB2312" w:hAnsi="仿宋_GB2312" w:cs="仿宋_GB2312" w:eastAsia="仿宋_GB2312"/>
              </w:rPr>
              <w:t>标的清单</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详见附件：供应商业绩证明材料.docx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详见附件：碑林区综治视联系统网络服务合同.docx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