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版本号：SXLX25-02-067Z(G)(二次)20250827001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校园设施建设项目(二次)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SXLX25-02-067Z(G)(二次)</w:t>
      </w:r>
      <w:r>
        <w:br/>
      </w:r>
      <w:r>
        <w:br/>
      </w:r>
      <w:r>
        <w:br/>
      </w:r>
    </w:p>
    <w:p>
      <w:pPr>
        <w:pStyle w:val="null3"/>
        <w:jc w:val="center"/>
        <w:outlineLvl w:val="2"/>
      </w:pPr>
      <w:r>
        <w:rPr>
          <w:rFonts w:ascii="仿宋_GB2312" w:hAnsi="仿宋_GB2312" w:cs="仿宋_GB2312" w:eastAsia="仿宋_GB2312"/>
          <w:sz w:val="28"/>
          <w:b/>
        </w:rPr>
        <w:t>西安市第六中学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西安市第六中学</w:t>
      </w:r>
      <w:r>
        <w:rPr>
          <w:rFonts w:ascii="仿宋_GB2312" w:hAnsi="仿宋_GB2312" w:cs="仿宋_GB2312" w:eastAsia="仿宋_GB2312"/>
        </w:rPr>
        <w:t>委托，拟对</w:t>
      </w:r>
      <w:r>
        <w:rPr>
          <w:rFonts w:ascii="仿宋_GB2312" w:hAnsi="仿宋_GB2312" w:cs="仿宋_GB2312" w:eastAsia="仿宋_GB2312"/>
        </w:rPr>
        <w:t>校园设施建设项目(二次)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SXLX25-02-067Z(G)(二次)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校园设施建设项目(二次)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西安市碑林区第六中学校园设施建设项目，具体以工程量清单为准。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1、供应商资质和专业要求： （1）供应商提供建设部门颁发的建筑工程施工总承包三级及以上资质；具备有效的安全生产许可证； （2）供应商基本信息及项目经理的基本信息在“陕西省住房和城乡建设厅(http://js.shaanxi.gov.cn/)”可查询； （3）外省进陕企业同时提供陕西省住房和城乡建设厅官网企业库外省进陕企业信息首页截图。</w:t>
      </w:r>
    </w:p>
    <w:p>
      <w:pPr>
        <w:pStyle w:val="null3"/>
      </w:pPr>
      <w:r>
        <w:rPr>
          <w:rFonts w:ascii="仿宋_GB2312" w:hAnsi="仿宋_GB2312" w:cs="仿宋_GB2312" w:eastAsia="仿宋_GB2312"/>
        </w:rPr>
        <w:t>2、拟派项目经理资质和专业要求：拟派项目经理须具有在本单位注册的建筑工程专业二级及以上注册建造师证书和有效的安全生产考核合格证（B证），并提供无在建工程承诺和无不良记录承诺；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西安市碑林区五味十字31号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029-87619067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蹲便器、小便器、电热水器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代理服务费具体收费金额将在成交公告中公布。 请将采购代理服务费汇至下列指定账户： 开户名称：陕西隆信项目管理有限公司 开 户 行：招商银行股份有限公司西安土门支行 账 号：129904064810902 财务部电话：029-88489979-8501 2、造价咨询费[计算依据陕价行〔2014〕88号文]规定标准收取，由成交供应商在领取《成交通知书》之前支付，造价咨询费：6171元。 请将造价咨询费汇至下列指定账户： 开户名称：陕西明珠建设工程有限公司 开 户 行：中国建设银行股份有限公司西安凤城八路支行 账 号：61001717800052504058 注：代理服务费及造价咨询费包含在报价中，不需单独列项。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西安市第六中学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西安市第六中学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采购人和用地单位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联系人：马彩霞、王小琼、任甜</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1,440,000.00</w:t>
      </w:r>
    </w:p>
    <w:p>
      <w:pPr>
        <w:pStyle w:val="null3"/>
      </w:pPr>
      <w:r>
        <w:rPr>
          <w:rFonts w:ascii="仿宋_GB2312" w:hAnsi="仿宋_GB2312" w:cs="仿宋_GB2312" w:eastAsia="仿宋_GB2312"/>
        </w:rPr>
        <w:t>采购包最高限价（元）: 1,435,003.51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1440000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spacing w:before="105" w:after="105"/>
              <w:jc w:val="both"/>
            </w:pPr>
            <w:r>
              <w:rPr>
                <w:rFonts w:ascii="仿宋_GB2312" w:hAnsi="仿宋_GB2312" w:cs="仿宋_GB2312" w:eastAsia="仿宋_GB2312"/>
                <w:sz w:val="21"/>
              </w:rPr>
              <w:t>西安市碑林区</w:t>
            </w:r>
            <w:r>
              <w:rPr>
                <w:rFonts w:ascii="仿宋_GB2312" w:hAnsi="仿宋_GB2312" w:cs="仿宋_GB2312" w:eastAsia="仿宋_GB2312"/>
                <w:sz w:val="21"/>
              </w:rPr>
              <w:t>第六中学校园设施建设项目</w:t>
            </w:r>
            <w:r>
              <w:rPr>
                <w:rFonts w:ascii="仿宋_GB2312" w:hAnsi="仿宋_GB2312" w:cs="仿宋_GB2312" w:eastAsia="仿宋_GB2312"/>
                <w:sz w:val="21"/>
              </w:rPr>
              <w:t>，具体以工程量清单为准。</w:t>
            </w:r>
          </w:p>
          <w:p>
            <w:pPr>
              <w:pStyle w:val="null3"/>
              <w:spacing w:before="105" w:after="105"/>
              <w:jc w:val="both"/>
            </w:pPr>
            <w:r>
              <w:rPr>
                <w:rFonts w:ascii="仿宋_GB2312" w:hAnsi="仿宋_GB2312" w:cs="仿宋_GB2312" w:eastAsia="仿宋_GB2312"/>
                <w:sz w:val="21"/>
              </w:rPr>
              <w:t>本项目所属行业为建筑业。（营业收入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spacing w:before="105" w:after="105"/>
              <w:jc w:val="both"/>
            </w:pPr>
            <w:r>
              <w:rPr>
                <w:rFonts w:ascii="仿宋_GB2312" w:hAnsi="仿宋_GB2312" w:cs="仿宋_GB2312" w:eastAsia="仿宋_GB2312"/>
                <w:sz w:val="21"/>
                <w:b/>
              </w:rPr>
              <w:t>二、工程内容和施工地点、计划工期、缺陷责任期、质量保修期</w:t>
            </w:r>
          </w:p>
          <w:p>
            <w:pPr>
              <w:pStyle w:val="null3"/>
              <w:spacing w:before="105" w:after="105"/>
              <w:jc w:val="both"/>
            </w:pPr>
            <w:r>
              <w:rPr>
                <w:rFonts w:ascii="仿宋_GB2312" w:hAnsi="仿宋_GB2312" w:cs="仿宋_GB2312" w:eastAsia="仿宋_GB2312"/>
                <w:sz w:val="21"/>
              </w:rPr>
              <w:t>（一）工程内容：校园设施建设</w:t>
            </w:r>
            <w:r>
              <w:rPr>
                <w:rFonts w:ascii="仿宋_GB2312" w:hAnsi="仿宋_GB2312" w:cs="仿宋_GB2312" w:eastAsia="仿宋_GB2312"/>
                <w:sz w:val="21"/>
              </w:rPr>
              <w:t>，具体内容详见工程量清单。</w:t>
            </w:r>
          </w:p>
          <w:p>
            <w:pPr>
              <w:pStyle w:val="null3"/>
              <w:spacing w:before="105" w:after="105"/>
              <w:jc w:val="both"/>
            </w:pPr>
            <w:r>
              <w:rPr>
                <w:rFonts w:ascii="仿宋_GB2312" w:hAnsi="仿宋_GB2312" w:cs="仿宋_GB2312" w:eastAsia="仿宋_GB2312"/>
                <w:sz w:val="21"/>
              </w:rPr>
              <w:t>（二）工程地点：西安市碑林区第六中学</w:t>
            </w:r>
          </w:p>
          <w:p>
            <w:pPr>
              <w:pStyle w:val="null3"/>
              <w:spacing w:before="105" w:after="105"/>
              <w:jc w:val="both"/>
            </w:pPr>
            <w:r>
              <w:rPr>
                <w:rFonts w:ascii="仿宋_GB2312" w:hAnsi="仿宋_GB2312" w:cs="仿宋_GB2312" w:eastAsia="仿宋_GB2312"/>
                <w:sz w:val="21"/>
              </w:rPr>
              <w:t>（三）计划工期：自进场之日起</w:t>
            </w:r>
            <w:r>
              <w:rPr>
                <w:rFonts w:ascii="仿宋_GB2312" w:hAnsi="仿宋_GB2312" w:cs="仿宋_GB2312" w:eastAsia="仿宋_GB2312"/>
                <w:sz w:val="21"/>
              </w:rPr>
              <w:t>45天</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rPr>
              <w:t>（四）缺陷责任期：</w:t>
            </w:r>
            <w:r>
              <w:rPr>
                <w:rFonts w:ascii="仿宋_GB2312" w:hAnsi="仿宋_GB2312" w:cs="仿宋_GB2312" w:eastAsia="仿宋_GB2312"/>
                <w:sz w:val="21"/>
              </w:rPr>
              <w:t>2年。</w:t>
            </w:r>
          </w:p>
          <w:p>
            <w:pPr>
              <w:pStyle w:val="null3"/>
              <w:spacing w:before="105" w:after="105"/>
              <w:jc w:val="both"/>
            </w:pPr>
            <w:r>
              <w:rPr>
                <w:rFonts w:ascii="仿宋_GB2312" w:hAnsi="仿宋_GB2312" w:cs="仿宋_GB2312" w:eastAsia="仿宋_GB2312"/>
                <w:sz w:val="21"/>
              </w:rPr>
              <w:t>（五）质量保修期：按照国家民用建筑相关规定执行。</w:t>
            </w:r>
          </w:p>
          <w:p>
            <w:pPr>
              <w:pStyle w:val="null3"/>
              <w:spacing w:before="105" w:after="105"/>
              <w:jc w:val="both"/>
            </w:pPr>
            <w:r>
              <w:rPr>
                <w:rFonts w:ascii="仿宋_GB2312" w:hAnsi="仿宋_GB2312" w:cs="仿宋_GB2312" w:eastAsia="仿宋_GB2312"/>
                <w:sz w:val="21"/>
                <w:b/>
              </w:rPr>
              <w:t>三、工程量清单和编制依据</w:t>
            </w:r>
          </w:p>
          <w:p>
            <w:pPr>
              <w:pStyle w:val="null3"/>
              <w:spacing w:before="105" w:after="105"/>
              <w:jc w:val="both"/>
            </w:pPr>
            <w:r>
              <w:rPr>
                <w:rFonts w:ascii="仿宋_GB2312" w:hAnsi="仿宋_GB2312" w:cs="仿宋_GB2312" w:eastAsia="仿宋_GB2312"/>
                <w:sz w:val="21"/>
              </w:rPr>
              <w:t>（一）编制依据：</w:t>
            </w:r>
          </w:p>
          <w:p>
            <w:pPr>
              <w:pStyle w:val="null3"/>
              <w:spacing w:before="105" w:after="105"/>
              <w:jc w:val="both"/>
            </w:pPr>
            <w:r>
              <w:rPr>
                <w:rFonts w:ascii="仿宋_GB2312" w:hAnsi="仿宋_GB2312" w:cs="仿宋_GB2312" w:eastAsia="仿宋_GB2312"/>
                <w:sz w:val="21"/>
              </w:rPr>
              <w:t>1. 根据西安市第六中学校园设施建设图纸编制工程量；</w:t>
            </w:r>
          </w:p>
          <w:p>
            <w:pPr>
              <w:pStyle w:val="null3"/>
              <w:spacing w:before="105" w:after="105"/>
              <w:jc w:val="both"/>
            </w:pPr>
            <w:r>
              <w:rPr>
                <w:rFonts w:ascii="仿宋_GB2312" w:hAnsi="仿宋_GB2312" w:cs="仿宋_GB2312" w:eastAsia="仿宋_GB2312"/>
                <w:sz w:val="21"/>
              </w:rPr>
              <w:t>2. 《陕西省建设工程费用规则》【2025】；</w:t>
            </w:r>
          </w:p>
          <w:p>
            <w:pPr>
              <w:pStyle w:val="null3"/>
              <w:spacing w:before="105" w:after="105"/>
              <w:jc w:val="both"/>
            </w:pPr>
            <w:r>
              <w:rPr>
                <w:rFonts w:ascii="仿宋_GB2312" w:hAnsi="仿宋_GB2312" w:cs="仿宋_GB2312" w:eastAsia="仿宋_GB2312"/>
                <w:sz w:val="21"/>
              </w:rPr>
              <w:t>3. 工程量清单电子版使用广联达云计价软件 GCCP7.0（版本：7.5000.23.1)</w:t>
            </w:r>
          </w:p>
          <w:p>
            <w:pPr>
              <w:pStyle w:val="null3"/>
              <w:spacing w:before="105" w:after="105"/>
              <w:jc w:val="both"/>
            </w:pPr>
            <w:r>
              <w:rPr>
                <w:rFonts w:ascii="仿宋_GB2312" w:hAnsi="仿宋_GB2312" w:cs="仿宋_GB2312" w:eastAsia="仿宋_GB2312"/>
                <w:sz w:val="21"/>
              </w:rPr>
              <w:t>（二）编制说明：</w:t>
            </w:r>
          </w:p>
          <w:p>
            <w:pPr>
              <w:pStyle w:val="null3"/>
              <w:spacing w:before="105" w:after="105"/>
              <w:jc w:val="both"/>
            </w:pPr>
            <w:r>
              <w:rPr>
                <w:rFonts w:ascii="仿宋_GB2312" w:hAnsi="仿宋_GB2312" w:cs="仿宋_GB2312" w:eastAsia="仿宋_GB2312"/>
                <w:sz w:val="21"/>
              </w:rPr>
              <w:t>1. 工程量清单是工程项目的简单描述，报价时应结合技术规范和图纸设计要求报价；</w:t>
            </w:r>
          </w:p>
          <w:p>
            <w:pPr>
              <w:pStyle w:val="null3"/>
              <w:spacing w:before="105" w:after="105"/>
              <w:jc w:val="both"/>
            </w:pPr>
            <w:r>
              <w:rPr>
                <w:rFonts w:ascii="仿宋_GB2312" w:hAnsi="仿宋_GB2312" w:cs="仿宋_GB2312" w:eastAsia="仿宋_GB2312"/>
                <w:sz w:val="21"/>
              </w:rPr>
              <w:t>2. 本工程采用一般计税：组成税前工程造价的分部分项工程项目费、措施项目费、其他项目费均不包含进项税税额；</w:t>
            </w:r>
          </w:p>
          <w:p>
            <w:pPr>
              <w:pStyle w:val="null3"/>
              <w:spacing w:before="105" w:after="105"/>
              <w:jc w:val="both"/>
            </w:pPr>
            <w:r>
              <w:rPr>
                <w:rFonts w:ascii="仿宋_GB2312" w:hAnsi="仿宋_GB2312" w:cs="仿宋_GB2312" w:eastAsia="仿宋_GB2312"/>
                <w:sz w:val="21"/>
              </w:rPr>
              <w:t>3. 图纸问题答疑回复。</w:t>
            </w:r>
          </w:p>
          <w:p>
            <w:pPr>
              <w:pStyle w:val="null3"/>
              <w:spacing w:before="105" w:after="105"/>
              <w:jc w:val="both"/>
            </w:pPr>
            <w:r>
              <w:rPr>
                <w:rFonts w:ascii="仿宋_GB2312" w:hAnsi="仿宋_GB2312" w:cs="仿宋_GB2312" w:eastAsia="仿宋_GB2312"/>
                <w:sz w:val="21"/>
              </w:rPr>
              <w:t>（三）暂列金额：</w:t>
            </w:r>
          </w:p>
          <w:p>
            <w:pPr>
              <w:pStyle w:val="null3"/>
              <w:spacing w:before="105" w:after="105"/>
              <w:jc w:val="both"/>
            </w:pPr>
            <w:r>
              <w:rPr>
                <w:rFonts w:ascii="仿宋_GB2312" w:hAnsi="仿宋_GB2312" w:cs="仿宋_GB2312" w:eastAsia="仿宋_GB2312"/>
                <w:sz w:val="21"/>
              </w:rPr>
              <w:t>1.1.本工程暂列金额 5 万元计入实验楼装饰工程项目其他项目费中。供应商组价时必须按此费用计入，否则按投标无效处理。</w:t>
            </w:r>
          </w:p>
          <w:p>
            <w:pPr>
              <w:pStyle w:val="null3"/>
              <w:spacing w:before="105" w:after="105"/>
              <w:jc w:val="both"/>
            </w:pPr>
            <w:r>
              <w:rPr>
                <w:rFonts w:ascii="仿宋_GB2312" w:hAnsi="仿宋_GB2312" w:cs="仿宋_GB2312" w:eastAsia="仿宋_GB2312"/>
                <w:sz w:val="21"/>
                <w:b/>
              </w:rPr>
              <w:t>四、施工要求</w:t>
            </w:r>
          </w:p>
          <w:p>
            <w:pPr>
              <w:pStyle w:val="null3"/>
              <w:spacing w:before="105" w:after="105"/>
              <w:jc w:val="both"/>
            </w:pPr>
            <w:r>
              <w:rPr>
                <w:rFonts w:ascii="仿宋_GB2312" w:hAnsi="仿宋_GB2312" w:cs="仿宋_GB2312" w:eastAsia="仿宋_GB2312"/>
                <w:sz w:val="21"/>
              </w:rPr>
              <w:t>1.在施工期间，供应商必须注意校内人员安全，加强安全措施，并对施工人员进行安全教育。施工人员必须持证上岗。</w:t>
            </w:r>
          </w:p>
          <w:p>
            <w:pPr>
              <w:pStyle w:val="null3"/>
              <w:spacing w:before="105" w:after="105"/>
              <w:jc w:val="both"/>
            </w:pPr>
            <w:r>
              <w:rPr>
                <w:rFonts w:ascii="仿宋_GB2312" w:hAnsi="仿宋_GB2312" w:cs="仿宋_GB2312" w:eastAsia="仿宋_GB2312"/>
                <w:sz w:val="21"/>
              </w:rPr>
              <w:t>2.供应商根据工程实际情况编制施工方案，制定工期进度安排表。</w:t>
            </w:r>
          </w:p>
          <w:p>
            <w:pPr>
              <w:pStyle w:val="null3"/>
              <w:spacing w:before="105" w:after="105"/>
              <w:jc w:val="both"/>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特殊工程人员要求有上岗证。施工队伍稳定，保证整个工程顺利完工。</w:t>
            </w:r>
          </w:p>
          <w:p>
            <w:pPr>
              <w:pStyle w:val="null3"/>
              <w:spacing w:before="105" w:after="105"/>
              <w:jc w:val="both"/>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1"/>
              </w:rPr>
              <w:t>5.严格按照国家和省上有关规定施工、规范施工，确保工程合格，如有更改须事先征得有关方面的同意，并在采购人落实后实施，并出具书面说明。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1"/>
              </w:rPr>
              <w:t>6.工程实行包工包料，供应商必须具备相应的资质，不得转包、分包。</w:t>
            </w:r>
          </w:p>
          <w:p>
            <w:pPr>
              <w:pStyle w:val="null3"/>
              <w:spacing w:before="105" w:after="105"/>
              <w:jc w:val="both"/>
            </w:pPr>
            <w:r>
              <w:rPr>
                <w:rFonts w:ascii="仿宋_GB2312" w:hAnsi="仿宋_GB2312" w:cs="仿宋_GB2312" w:eastAsia="仿宋_GB2312"/>
                <w:sz w:val="21"/>
              </w:rPr>
              <w:t>7.供应商根据工程实际情况编制施工方案，制定工期进度安排表，并随磋商响应文件一并提交。</w:t>
            </w:r>
          </w:p>
          <w:p>
            <w:pPr>
              <w:pStyle w:val="null3"/>
              <w:spacing w:before="105" w:after="105"/>
              <w:jc w:val="both"/>
            </w:pPr>
            <w:r>
              <w:rPr>
                <w:rFonts w:ascii="仿宋_GB2312" w:hAnsi="仿宋_GB2312" w:cs="仿宋_GB2312" w:eastAsia="仿宋_GB2312"/>
                <w:sz w:val="21"/>
              </w:rPr>
              <w:t>8.施工过程中，严格遵守采购人的各种管理规定及规章制度，做到文明施工。发生工伤及意外事故由施工单位负责。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1"/>
              </w:rPr>
              <w:t>9.严格按照国家和省上有关规定施工、规范施工，确保工程合格，如有更改须事先征得有关方面的同意，并在采购人落实后实施，并出具书面说明。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1"/>
              </w:rPr>
              <w:t>10.所有进场材料需携带合格证等质量证明文件，所有提供的材料均需使用环保产品，对学校学生的健康无危害，由采购人现场代表对所进场材料予以验收并签字确认。</w:t>
            </w:r>
          </w:p>
          <w:p>
            <w:pPr>
              <w:pStyle w:val="null3"/>
              <w:spacing w:before="105" w:after="105"/>
              <w:jc w:val="both"/>
            </w:pPr>
            <w:r>
              <w:rPr>
                <w:rFonts w:ascii="仿宋_GB2312" w:hAnsi="仿宋_GB2312" w:cs="仿宋_GB2312" w:eastAsia="仿宋_GB2312"/>
                <w:sz w:val="21"/>
              </w:rPr>
              <w:t>11.施工期间需采取必要措施确保现场正常运行。</w:t>
            </w:r>
          </w:p>
          <w:p>
            <w:pPr>
              <w:pStyle w:val="null3"/>
              <w:spacing w:before="105" w:after="105"/>
              <w:jc w:val="both"/>
            </w:pPr>
            <w:r>
              <w:rPr>
                <w:rFonts w:ascii="仿宋_GB2312" w:hAnsi="仿宋_GB2312" w:cs="仿宋_GB2312" w:eastAsia="仿宋_GB2312"/>
                <w:sz w:val="21"/>
              </w:rPr>
              <w:t>12.所有施工人员需统一着装统一单位标识，严禁随意通行。</w:t>
            </w:r>
          </w:p>
          <w:p>
            <w:pPr>
              <w:pStyle w:val="null3"/>
              <w:spacing w:before="105" w:after="105"/>
              <w:jc w:val="both"/>
            </w:pPr>
            <w:r>
              <w:rPr>
                <w:rFonts w:ascii="仿宋_GB2312" w:hAnsi="仿宋_GB2312" w:cs="仿宋_GB2312" w:eastAsia="仿宋_GB2312"/>
                <w:sz w:val="21"/>
              </w:rPr>
              <w:t>13.选用的主材、设备、辅材必须使用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05"/>
              <w:jc w:val="both"/>
            </w:pPr>
            <w:r>
              <w:rPr>
                <w:rFonts w:ascii="仿宋_GB2312" w:hAnsi="仿宋_GB2312" w:cs="仿宋_GB2312" w:eastAsia="仿宋_GB2312"/>
                <w:sz w:val="21"/>
              </w:rPr>
              <w:t>14.供应商必须向采购人及时提供合格证及材料检验单。在征得有关方面认可后，方可进行施工，并做好相应的检验环节。</w:t>
            </w:r>
          </w:p>
          <w:p>
            <w:pPr>
              <w:pStyle w:val="null3"/>
              <w:spacing w:before="105" w:after="105"/>
              <w:jc w:val="both"/>
            </w:pPr>
            <w:r>
              <w:rPr>
                <w:rFonts w:ascii="仿宋_GB2312" w:hAnsi="仿宋_GB2312" w:cs="仿宋_GB2312" w:eastAsia="仿宋_GB2312"/>
                <w:sz w:val="21"/>
              </w:rPr>
              <w:t>15.供应商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spacing w:before="105" w:after="105"/>
              <w:jc w:val="both"/>
            </w:pPr>
            <w:r>
              <w:rPr>
                <w:rFonts w:ascii="仿宋_GB2312" w:hAnsi="仿宋_GB2312" w:cs="仿宋_GB2312" w:eastAsia="仿宋_GB2312"/>
                <w:sz w:val="21"/>
              </w:rPr>
              <w:t>16.工程完工后所有现场的电路、板报、装饰等全部恢复，并达到交付使用，并进行试机检查，不影响开学第一天正常教学活动。</w:t>
            </w:r>
          </w:p>
          <w:p>
            <w:pPr>
              <w:pStyle w:val="null3"/>
              <w:spacing w:before="105" w:after="105"/>
              <w:jc w:val="both"/>
            </w:pPr>
            <w:r>
              <w:rPr>
                <w:rFonts w:ascii="仿宋_GB2312" w:hAnsi="仿宋_GB2312" w:cs="仿宋_GB2312" w:eastAsia="仿宋_GB2312"/>
                <w:sz w:val="21"/>
              </w:rPr>
              <w:t>17.下列产品为强制节能产品，不提供节能产品的按无效投标处理：蹲便器、小便器、电热水器（强制节能产品需提供节能认证证书）</w:t>
            </w:r>
          </w:p>
          <w:p>
            <w:pPr>
              <w:pStyle w:val="null3"/>
              <w:spacing w:before="105" w:after="105"/>
              <w:jc w:val="both"/>
            </w:pPr>
            <w:r>
              <w:rPr>
                <w:rFonts w:ascii="仿宋_GB2312" w:hAnsi="仿宋_GB2312" w:cs="仿宋_GB2312" w:eastAsia="仿宋_GB2312"/>
                <w:sz w:val="21"/>
                <w:b/>
              </w:rPr>
              <w:t>五、商务要求（如合同价款及结算方式等）</w:t>
            </w:r>
          </w:p>
          <w:p>
            <w:pPr>
              <w:pStyle w:val="null3"/>
              <w:spacing w:before="105" w:after="105"/>
              <w:ind w:firstLine="400"/>
              <w:jc w:val="both"/>
            </w:pPr>
            <w:r>
              <w:rPr>
                <w:rFonts w:ascii="仿宋_GB2312" w:hAnsi="仿宋_GB2312" w:cs="仿宋_GB2312" w:eastAsia="仿宋_GB2312"/>
                <w:sz w:val="21"/>
              </w:rPr>
              <w:t>款项结算：</w:t>
            </w:r>
            <w:r>
              <w:rPr>
                <w:rFonts w:ascii="仿宋_GB2312" w:hAnsi="仿宋_GB2312" w:cs="仿宋_GB2312" w:eastAsia="仿宋_GB2312"/>
                <w:sz w:val="21"/>
              </w:rPr>
              <w:t>1、付款条件说明：合同签订后 ，达到付款条件起 15 日内，支付合同总金额的40.00%。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 付款条件说明：工程竣工验收合格后 ，达到付款条件起 15 日内，支付合同总金额的60.00%。</w:t>
            </w:r>
          </w:p>
          <w:p>
            <w:pPr>
              <w:pStyle w:val="null3"/>
            </w:pPr>
            <w:r>
              <w:rPr>
                <w:rFonts w:ascii="仿宋_GB2312" w:hAnsi="仿宋_GB2312" w:cs="仿宋_GB2312" w:eastAsia="仿宋_GB2312"/>
                <w:sz w:val="21"/>
                <w:b/>
              </w:rPr>
              <w:t>六、本项目需要落实的政府采购政策：</w:t>
            </w:r>
          </w:p>
          <w:p>
            <w:pPr>
              <w:pStyle w:val="null3"/>
            </w:pPr>
            <w:r>
              <w:rPr>
                <w:rFonts w:ascii="仿宋_GB2312" w:hAnsi="仿宋_GB2312" w:cs="仿宋_GB2312" w:eastAsia="仿宋_GB2312"/>
                <w:sz w:val="21"/>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pPr>
            <w:r>
              <w:rPr>
                <w:rFonts w:ascii="仿宋_GB2312" w:hAnsi="仿宋_GB2312" w:cs="仿宋_GB2312" w:eastAsia="仿宋_GB2312"/>
                <w:sz w:val="21"/>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pPr>
            <w:r>
              <w:rPr>
                <w:rFonts w:ascii="仿宋_GB2312" w:hAnsi="仿宋_GB2312" w:cs="仿宋_GB2312" w:eastAsia="仿宋_GB2312"/>
                <w:sz w:val="21"/>
              </w:rPr>
              <w:t>3、支持本国产业政策：《财政部关于印发&lt;进口产品管理办法&gt;的通知》（财库〔2007〕119号）；《财政部办公厅关于政府采购进口产品管理有关问题的通知》（财办库〔2008〕248号）。</w:t>
            </w:r>
          </w:p>
          <w:p>
            <w:pPr>
              <w:pStyle w:val="null3"/>
              <w:jc w:val="both"/>
            </w:pPr>
            <w:r>
              <w:rPr>
                <w:rFonts w:ascii="仿宋_GB2312" w:hAnsi="仿宋_GB2312" w:cs="仿宋_GB2312" w:eastAsia="仿宋_GB2312"/>
                <w:sz w:val="21"/>
              </w:rPr>
              <w:t>4、支持创新等政府采购政策。</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达到相关建设工程施工及验收规范“合格”标准；（2）符合《安全生产管理条例》的标准；符合工程相关规范要求；（3）工程验收标准：双方约定，在符合采购文件中本工程项目施工要求的前提下，以采购人和用地单位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有违法所得的，并处没收违法所得，情节严重的，由市场监督部门吊销营业执照；构成犯罪的，依法追究刑事责任。 二、成交供应商在领取成交通知书时提供纸质版投标文件2套，应通过专用制作软件直接打印，确保与电子投标文件保持一致，不允许修改和补充。提交地点：陕西省西安市雁塔区雁翔路111号赛格·中京坊公寓A一单元二层招标二部。 三、供应商的磋商报价包括施工设备费、人工费、管理费、材料与设备费、安装费、维护费、保险费、采购代理服务费、造价咨询服务费、税金、利润、政策性规费、风险、责任等所有费用，并符合建设工程计价规则。已标价工程量清单应当按照采购文件中规定的暂列金额、专业工程暂估价、材料设备暂估价进行报价，否则将按无效响应处理。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评审过程中，合格供应商少于3家时，采购人应依法重新组织采购活动。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八、签名是指手写签名或者加盖名章(含电子)，盖章是指加盖单位印章。 九、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 （1）供应商的营业执照等证明文件，自然人的身份证明； (2)法定代表人（单位负责人）参加磋商的，提供本人身份证复印件；法定代表人（单位负责人）授权他人参加磋商的，提供法定代表人（单位负责人）委托授权书及被授权代表的身份证复印件、被授权代表的参保缴费证明（须附可查询的验证编号或验证二维码）； （3）供应商提供的投标（响应）函； （4）供应商不得被列入“信用中国”网站(https://www.creditchina.gov.cn/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供应商资质和专业要求</w:t>
            </w:r>
          </w:p>
        </w:tc>
        <w:tc>
          <w:tcPr>
            <w:tcW w:type="dxa" w:w="3322"/>
          </w:tcPr>
          <w:p>
            <w:pPr>
              <w:pStyle w:val="null3"/>
            </w:pPr>
            <w:r>
              <w:rPr>
                <w:rFonts w:ascii="仿宋_GB2312" w:hAnsi="仿宋_GB2312" w:cs="仿宋_GB2312" w:eastAsia="仿宋_GB2312"/>
              </w:rPr>
              <w:t xml:space="preserve"> （1）供应商提供建设部门颁发的建筑工程施工总承包三级及以上资质；具备有效的安全生产许可证； （2）供应商基本信息及项目经理的基本信息在“陕西省住房和城乡建设厅(http://js.shaanxi.gov.cn/)”可查询； （3）外省进陕企业同时提供陕西省住房和城乡建设厅官网企业库外省进陕企业信息首页截图。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拟派项目经理须具有在本单位注册的建筑工程专业二级及以上注册建造师证书和有效的安全生产考核合格证（B证），并提供无在建工程承诺和无不良记录承诺；</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资格证明文件 商务技术文件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已标价工程量清单 商务技术文件 中小企业声明函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已标价工程量清单 资格证明文件 商务技术文件 项目管理机构组成表 报价函 标的清单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商务技术文件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不同供应商的响应文件由同一单位或者个人编制；（2）不同供应商委托同一单位或者个人办理磋商事宜；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已标价工程量清单 资格证明文件 商务技术文件 项目管理机构组成表 报价函 标的清单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商务技术文件 报价函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针对本工程具体可行并符合国家相关保修规范的售后服务承诺。根据其相应程度得0-6分。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每种产品得0.5分，最高得1分，没有不得分；属强制节能产品的不再得分，未提供该产品的按无效响应文件处理。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具有2022年1月1日至今的类似业绩(以合同签订日期为准)，业绩以合同复印件和银行汇兑凭证为依据，缺一不可。每个业绩计2分，5个以上(含5个)计10分。未提供计0分。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