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版本号：RCZB2025-XD-29-1120250806001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实验小学体育场地提升改造(室外篮球场地及体育场入口)项目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RCZB2025-XD-29-11</w:t>
      </w:r>
      <w:r>
        <w:br/>
      </w:r>
      <w:r>
        <w:br/>
      </w:r>
      <w:r>
        <w:br/>
      </w:r>
    </w:p>
    <w:p>
      <w:pPr>
        <w:pStyle w:val="null3"/>
        <w:jc w:val="center"/>
        <w:outlineLvl w:val="2"/>
      </w:pPr>
      <w:r>
        <w:rPr>
          <w:rFonts w:ascii="仿宋_GB2312" w:hAnsi="仿宋_GB2312" w:cs="仿宋_GB2312" w:eastAsia="仿宋_GB2312"/>
          <w:sz w:val="28"/>
          <w:b/>
        </w:rPr>
        <w:t>西安市碑林区实验小学</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西安市碑林区实验小学</w:t>
      </w:r>
      <w:r>
        <w:rPr>
          <w:rFonts w:ascii="仿宋_GB2312" w:hAnsi="仿宋_GB2312" w:cs="仿宋_GB2312" w:eastAsia="仿宋_GB2312"/>
        </w:rPr>
        <w:t>委托，拟对</w:t>
      </w:r>
      <w:r>
        <w:rPr>
          <w:rFonts w:ascii="仿宋_GB2312" w:hAnsi="仿宋_GB2312" w:cs="仿宋_GB2312" w:eastAsia="仿宋_GB2312"/>
        </w:rPr>
        <w:t>实验小学体育场地提升改造(室外篮球场地及体育场入口)项目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RCZB2025-XD-29-11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实验小学体育场地提升改造(室外篮球场地及体育场入口)项目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因我学校现有篮球场建于2018年, 已使用八年,由于硅PU运动地面数处空鼓,开裂,脱落,这些现象会导致学生发生磕绊,影响了学生的人身安全和正常教育教学,是一处潜在的安全隐患；学校现有28个班级,学生总数1414人,现有运动场地只有4000多平方米,未达到督导评估的国家要求,无法同时满足多个班级的体育教学和全校师生的课余活动需求,导致体育课程开展受限,学生的运动积极性也受到影响；加之,阴雨天气室外场地也无法使用,体育课也无法开展，因此，拟对学校篮球场地进行翻新与设施设备升级;该项目将有效消除现有很多安全隐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采购包1（实验小学体育场地提升改造(室外篮球场地及体育场入口)项目）：属于专门面向中小企业采购。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人身份证明或法人授权委托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pPr>
        <w:pStyle w:val="null3"/>
      </w:pPr>
      <w:r>
        <w:rPr>
          <w:rFonts w:ascii="仿宋_GB2312" w:hAnsi="仿宋_GB2312" w:cs="仿宋_GB2312" w:eastAsia="仿宋_GB2312"/>
        </w:rPr>
        <w:t>3、企业资质：投标人具备建筑工程施工总承包三级及以上或装饰装修工程专业承包二级及以上资质，具备有效的安全生产许可证</w:t>
      </w:r>
    </w:p>
    <w:p>
      <w:pPr>
        <w:pStyle w:val="null3"/>
      </w:pPr>
      <w:r>
        <w:rPr>
          <w:rFonts w:ascii="仿宋_GB2312" w:hAnsi="仿宋_GB2312" w:cs="仿宋_GB2312" w:eastAsia="仿宋_GB2312"/>
        </w:rPr>
        <w:t>4、项目经理：投标人拟派项目经理具备建筑工程专业二级及以上注册建造师执业资格且在本单位注册，具有有效的安全生产考核合格证（B证），且未担任其他在建工程项目的项目经理（提供无在建承诺书）</w:t>
      </w:r>
    </w:p>
    <w:p>
      <w:pPr>
        <w:pStyle w:val="null3"/>
      </w:pPr>
      <w:r>
        <w:rPr>
          <w:rFonts w:ascii="仿宋_GB2312" w:hAnsi="仿宋_GB2312" w:cs="仿宋_GB2312" w:eastAsia="仿宋_GB2312"/>
        </w:rPr>
        <w:t>5、投标人及拟派项目经理的基本信息：投标人及拟派项目经理的基本信息在陕西省住房和城乡建设厅（https://js.shaanxi.gov.cn）可查询；外省进陕企业需提供陕西省住房和城乡建设厅官网企业库外省进陕企业信息首页截图</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7、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8、财务状况报告：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9、履行合同所必需的设备和专业技术能力书面声明函：具有履行合同所必需的设备和专业技术能力书面声明函，供应商需在项目电子化交易系统中按要求上传相应证明文件并进行电子签章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10、企业信誉：投标人未被“信用中国” 网站（www.creditchina.gov.cn）列入失信被执行人和重大税收违法失信主体，未被中国政府采购网（www.ccgp.gov.cn）列入政府采购严重违法失信行为记录名单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西安市碑林区实验小学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西安市碑林区安东街100号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15349225197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西安市朱雀大街南段汇成天玺C座10层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029-88669622转801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采购包1：555,079.05元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西安市碑林区实验小学</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西安市碑林区实验小学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西安市碑林区实验小学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供应商应按照合同规定的交付时间完成工程并将其交付给采购人</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联系人：杨丽</w:t>
      </w:r>
    </w:p>
    <w:p>
      <w:pPr>
        <w:pStyle w:val="null3"/>
      </w:pPr>
      <w:r>
        <w:rPr>
          <w:rFonts w:ascii="仿宋_GB2312" w:hAnsi="仿宋_GB2312" w:cs="仿宋_GB2312" w:eastAsia="仿宋_GB2312"/>
        </w:rPr>
        <w:t>联系电话： 029-88669622转801</w:t>
      </w:r>
    </w:p>
    <w:p>
      <w:pPr>
        <w:pStyle w:val="null3"/>
      </w:pPr>
      <w:r>
        <w:rPr>
          <w:rFonts w:ascii="仿宋_GB2312" w:hAnsi="仿宋_GB2312" w:cs="仿宋_GB2312" w:eastAsia="仿宋_GB2312"/>
        </w:rPr>
        <w:t>地址：西安市朱雀大街南段汇成天玺C座10层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555,079.05</w:t>
      </w:r>
    </w:p>
    <w:p>
      <w:pPr>
        <w:pStyle w:val="null3"/>
      </w:pPr>
      <w:r>
        <w:rPr>
          <w:rFonts w:ascii="仿宋_GB2312" w:hAnsi="仿宋_GB2312" w:cs="仿宋_GB2312" w:eastAsia="仿宋_GB2312"/>
        </w:rPr>
        <w:t>采购包最高限价（元）: 555,079.05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实验小学体育场地提升改造(室外篮球场地及体育场入口)项目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555,079.05</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标的名称：实验小学体育场地提升改造(室外篮球场地及体育场入口)项目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color w:val="000000"/>
              </w:rPr>
              <w:t>一、工程内容和施工地点、计划工期、缺陷责任期、质量保修期</w:t>
            </w:r>
          </w:p>
          <w:p>
            <w:pPr>
              <w:pStyle w:val="null3"/>
              <w:numPr>
                <w:ilvl w:val="0"/>
                <w:numId w:val="1"/>
              </w:numPr>
              <w:jc w:val="both"/>
            </w:pPr>
            <w:r>
              <w:rPr>
                <w:rFonts w:ascii="仿宋_GB2312" w:hAnsi="仿宋_GB2312" w:cs="仿宋_GB2312" w:eastAsia="仿宋_GB2312"/>
                <w:sz w:val="21"/>
                <w:color w:val="000000"/>
              </w:rPr>
              <w:t>工程内容：本项目主要对校园室外体育场新作电动雨棚、地面篮球场硅PU更换及体育场地入口项目建设。</w:t>
            </w:r>
          </w:p>
          <w:p>
            <w:pPr>
              <w:pStyle w:val="null3"/>
              <w:numPr>
                <w:ilvl w:val="0"/>
                <w:numId w:val="1"/>
              </w:numPr>
              <w:jc w:val="both"/>
            </w:pPr>
            <w:r>
              <w:rPr>
                <w:rFonts w:ascii="仿宋_GB2312" w:hAnsi="仿宋_GB2312" w:cs="仿宋_GB2312" w:eastAsia="仿宋_GB2312"/>
                <w:sz w:val="21"/>
                <w:color w:val="000000"/>
              </w:rPr>
              <w:t>工程地点：碑林区安东街100号</w:t>
            </w:r>
          </w:p>
          <w:p>
            <w:pPr>
              <w:pStyle w:val="null3"/>
              <w:numPr>
                <w:ilvl w:val="0"/>
                <w:numId w:val="1"/>
              </w:numPr>
              <w:jc w:val="both"/>
            </w:pPr>
            <w:r>
              <w:rPr>
                <w:rFonts w:ascii="仿宋_GB2312" w:hAnsi="仿宋_GB2312" w:cs="仿宋_GB2312" w:eastAsia="仿宋_GB2312"/>
                <w:sz w:val="21"/>
                <w:color w:val="000000"/>
              </w:rPr>
              <w:t>计划工期：20天</w:t>
            </w:r>
          </w:p>
          <w:p>
            <w:pPr>
              <w:pStyle w:val="null3"/>
              <w:numPr>
                <w:ilvl w:val="0"/>
                <w:numId w:val="1"/>
              </w:numPr>
              <w:jc w:val="both"/>
            </w:pPr>
            <w:r>
              <w:rPr>
                <w:rFonts w:ascii="仿宋_GB2312" w:hAnsi="仿宋_GB2312" w:cs="仿宋_GB2312" w:eastAsia="仿宋_GB2312"/>
                <w:sz w:val="21"/>
                <w:color w:val="000000"/>
              </w:rPr>
              <w:t>缺陷责任期：5年</w:t>
            </w:r>
          </w:p>
          <w:p>
            <w:pPr>
              <w:pStyle w:val="null3"/>
              <w:numPr>
                <w:ilvl w:val="0"/>
                <w:numId w:val="1"/>
              </w:numPr>
              <w:jc w:val="both"/>
            </w:pPr>
            <w:r>
              <w:rPr>
                <w:rFonts w:ascii="仿宋_GB2312" w:hAnsi="仿宋_GB2312" w:cs="仿宋_GB2312" w:eastAsia="仿宋_GB2312"/>
                <w:sz w:val="21"/>
                <w:color w:val="000000"/>
              </w:rPr>
              <w:t>质量保修期：5年</w:t>
            </w:r>
          </w:p>
          <w:p>
            <w:pPr>
              <w:pStyle w:val="null3"/>
              <w:numPr>
                <w:ilvl w:val="0"/>
                <w:numId w:val="1"/>
              </w:numPr>
              <w:jc w:val="both"/>
            </w:pPr>
            <w:r>
              <w:rPr>
                <w:rFonts w:ascii="仿宋_GB2312" w:hAnsi="仿宋_GB2312" w:cs="仿宋_GB2312" w:eastAsia="仿宋_GB2312"/>
                <w:sz w:val="21"/>
                <w:color w:val="000000"/>
              </w:rPr>
              <w:t>二、工程量清单和计价依据</w:t>
            </w:r>
          </w:p>
          <w:p>
            <w:pPr>
              <w:pStyle w:val="null3"/>
              <w:numPr>
                <w:ilvl w:val="0"/>
                <w:numId w:val="1"/>
              </w:numPr>
              <w:jc w:val="both"/>
            </w:pPr>
            <w:r>
              <w:rPr>
                <w:rFonts w:ascii="仿宋_GB2312" w:hAnsi="仿宋_GB2312" w:cs="仿宋_GB2312" w:eastAsia="仿宋_GB2312"/>
                <w:sz w:val="21"/>
                <w:color w:val="000000"/>
              </w:rPr>
              <w:t>计价依据:计价依据《陕西省建设工程工程量清单计价规则》(2009 年)、《陕西省建筑装饰工程消耗量定额》(2004年)、《陕西省建筑装饰工程 2009 年价目表》、《全国修缮定额土建工程陕西省价目表》(2001年)及配套费用定额、相关取费文件，报价以给定的工程量清单及现场情况自主编报。</w:t>
            </w:r>
          </w:p>
          <w:p>
            <w:pPr>
              <w:pStyle w:val="null3"/>
              <w:numPr>
                <w:ilvl w:val="0"/>
                <w:numId w:val="1"/>
              </w:numPr>
              <w:jc w:val="both"/>
            </w:pPr>
            <w:r>
              <w:rPr>
                <w:rFonts w:ascii="仿宋_GB2312" w:hAnsi="仿宋_GB2312" w:cs="仿宋_GB2312" w:eastAsia="仿宋_GB2312"/>
                <w:sz w:val="21"/>
                <w:color w:val="000000"/>
              </w:rPr>
              <w:t>工程量清单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见广联达清单</w:t>
            </w:r>
          </w:p>
          <w:p>
            <w:pPr>
              <w:pStyle w:val="null3"/>
              <w:jc w:val="both"/>
            </w:pPr>
            <w:r>
              <w:rPr>
                <w:rFonts w:ascii="仿宋_GB2312" w:hAnsi="仿宋_GB2312" w:cs="仿宋_GB2312" w:eastAsia="仿宋_GB2312"/>
                <w:sz w:val="21"/>
                <w:color w:val="000000"/>
              </w:rPr>
              <w:t xml:space="preserve">          三、施工要求</w:t>
            </w:r>
          </w:p>
          <w:p>
            <w:pPr>
              <w:pStyle w:val="null3"/>
              <w:ind w:firstLine="640"/>
              <w:jc w:val="both"/>
            </w:pPr>
            <w:r>
              <w:rPr>
                <w:rFonts w:ascii="仿宋_GB2312" w:hAnsi="仿宋_GB2312" w:cs="仿宋_GB2312" w:eastAsia="仿宋_GB2312"/>
                <w:sz w:val="21"/>
                <w:color w:val="000000"/>
              </w:rPr>
              <w:t>在施工期间，中标供应商必须注意院内人员安全，加强安全措施，并对施工人员进行安全教育。施工人员必须持证上岗。因采购人工作的特殊性，要求中标供应商在施工中做到封闭性施工。</w:t>
            </w:r>
          </w:p>
          <w:p>
            <w:pPr>
              <w:pStyle w:val="null3"/>
              <w:ind w:firstLine="640"/>
              <w:jc w:val="both"/>
            </w:pPr>
            <w:r>
              <w:rPr>
                <w:rFonts w:ascii="仿宋_GB2312" w:hAnsi="仿宋_GB2312" w:cs="仿宋_GB2312" w:eastAsia="仿宋_GB2312"/>
                <w:sz w:val="21"/>
                <w:color w:val="000000"/>
              </w:rPr>
              <w:t>四、商务要求</w:t>
            </w:r>
          </w:p>
          <w:p>
            <w:pPr>
              <w:pStyle w:val="null3"/>
              <w:ind w:firstLine="640"/>
              <w:jc w:val="both"/>
            </w:pPr>
            <w:r>
              <w:rPr>
                <w:rFonts w:ascii="仿宋_GB2312" w:hAnsi="仿宋_GB2312" w:cs="仿宋_GB2312" w:eastAsia="仿宋_GB2312"/>
                <w:sz w:val="21"/>
                <w:color w:val="000000"/>
              </w:rPr>
              <w:t>工程项目的质保金不得超过合同金额的3%。</w:t>
            </w:r>
          </w:p>
          <w:p>
            <w:pPr>
              <w:pStyle w:val="null3"/>
              <w:ind w:firstLine="640"/>
              <w:jc w:val="both"/>
            </w:pPr>
            <w:r>
              <w:rPr>
                <w:rFonts w:ascii="仿宋_GB2312" w:hAnsi="仿宋_GB2312" w:cs="仿宋_GB2312" w:eastAsia="仿宋_GB2312"/>
                <w:sz w:val="21"/>
                <w:color w:val="000000"/>
              </w:rPr>
              <w:t>合同签订后，采购人7个工作日内支付成交供应商合同价的30%作为工程预付款，竣工验收合格后支付至合同价的80%，成交供应商报送结算资料，结算资料经审定后15个工作日内支付至最终决算价。</w:t>
            </w:r>
          </w:p>
          <w:p>
            <w:pPr>
              <w:pStyle w:val="null3"/>
              <w:ind w:firstLine="64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二）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（三）本项目为综合单价合同，最终固定单价以最终总报价/首次总报价的比例等比例下浮。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报价函 供应商应提交的相关资格证明材料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法人身份证明或法人授权委托书</w:t>
            </w:r>
          </w:p>
        </w:tc>
        <w:tc>
          <w:tcPr>
            <w:tcW w:type="dxa" w:w="3322"/>
          </w:tcPr>
          <w:p>
            <w:pPr>
              <w:pStyle w:val="null3"/>
            </w:pPr>
            <w:r>
              <w:rPr>
                <w:rFonts w:ascii="仿宋_GB2312" w:hAnsi="仿宋_GB2312" w:cs="仿宋_GB2312" w:eastAsia="仿宋_GB2312"/>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投标人具备建筑工程施工总承包三级及以上或装饰装修工程专业承包二级及以上资质，具备有效的安全生产许可证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投标人拟派项目经理具备建筑工程专业二级及以上注册建造师执业资格且在本单位注册，具有有效的安全生产考核合格证（B证），且未担任其他在建工程项目的项目经理（提供无在建承诺书）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投标人及拟派项目经理的基本信息</w:t>
            </w:r>
          </w:p>
        </w:tc>
        <w:tc>
          <w:tcPr>
            <w:tcW w:type="dxa" w:w="3322"/>
          </w:tcPr>
          <w:p>
            <w:pPr>
              <w:pStyle w:val="null3"/>
            </w:pPr>
            <w:r>
              <w:rPr>
                <w:rFonts w:ascii="仿宋_GB2312" w:hAnsi="仿宋_GB2312" w:cs="仿宋_GB2312" w:eastAsia="仿宋_GB2312"/>
              </w:rPr>
              <w:t>投标人及拟派项目经理的基本信息在陕西省住房和城乡建设厅（https://js.shaanxi.gov.cn）可查询；外省进陕企业需提供陕西省住房和城乡建设厅官网企业库外省进陕企业信息首页截图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投标人未被“信用中国” 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响应文件的签署、加盖印章合格有效；提供的各种证明文件、数据、资料真实有效；响应文件是否存在实质性偏离。</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整个项目施工的具体方案。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确保工程质量的技术组织措施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施工总进度计划及保证措施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项目组织管理及项目人员组成</w:t>
            </w:r>
          </w:p>
        </w:tc>
        <w:tc>
          <w:tcPr>
            <w:tcW w:type="dxa" w:w="2492"/>
          </w:tcPr>
          <w:p>
            <w:pPr>
              <w:pStyle w:val="null3"/>
            </w:pPr>
            <w:r>
              <w:rPr>
                <w:rFonts w:ascii="仿宋_GB2312" w:hAnsi="仿宋_GB2312" w:cs="仿宋_GB2312" w:eastAsia="仿宋_GB2312"/>
              </w:rPr>
              <w:t>项目组织管理机构，项目经理及项目实施的人员组成情况赋分标准：（1）合理性（2）针对性（3）可操作性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w:t>
            </w:r>
          </w:p>
        </w:tc>
        <w:tc>
          <w:tcPr>
            <w:tcW w:type="dxa" w:w="2492"/>
          </w:tcPr>
          <w:p>
            <w:pPr>
              <w:pStyle w:val="null3"/>
            </w:pPr>
            <w:r>
              <w:rPr>
                <w:rFonts w:ascii="仿宋_GB2312" w:hAnsi="仿宋_GB2312" w:cs="仿宋_GB2312" w:eastAsia="仿宋_GB2312"/>
              </w:rPr>
              <w:t>确保文明施工的技术组织措施及环境保护（噪音、扬尘）措施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协调工作及应急措施</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 赋分标准：（1）合理性（2）针对性（3）可操作性方案各部分内容全面、阐述条理清晰详尽、符合本项目采购需求且描述详细得6分，若赋分点响应程度有欠缺则该点得1分，未响应不得分。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确保安全的生产技术组织措施</w:t>
            </w:r>
          </w:p>
        </w:tc>
        <w:tc>
          <w:tcPr>
            <w:tcW w:type="dxa" w:w="2492"/>
          </w:tcPr>
          <w:p>
            <w:pPr>
              <w:pStyle w:val="null3"/>
            </w:pPr>
            <w:r>
              <w:rPr>
                <w:rFonts w:ascii="仿宋_GB2312" w:hAnsi="仿宋_GB2312" w:cs="仿宋_GB2312" w:eastAsia="仿宋_GB2312"/>
              </w:rPr>
              <w:t>确保安全的生产技术组织措施赋分标准：（1）合理性（2）针对性（3）可操作性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针对本项目质量保修承诺赋分标准：（1）合理性（2）针对性（3）可操作性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针对本项目提供拟投入本项目主要机具、设备和劳动力配置情况赋分标准：（1）合理性（2）针对性（3）可操作性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资料留存完备措施</w:t>
            </w:r>
          </w:p>
        </w:tc>
        <w:tc>
          <w:tcPr>
            <w:tcW w:type="dxa" w:w="2492"/>
          </w:tcPr>
          <w:p>
            <w:pPr>
              <w:pStyle w:val="null3"/>
            </w:pPr>
            <w:r>
              <w:rPr>
                <w:rFonts w:ascii="仿宋_GB2312" w:hAnsi="仿宋_GB2312" w:cs="仿宋_GB2312" w:eastAsia="仿宋_GB2312"/>
              </w:rPr>
              <w:t>针对本项目的资料留存完备措施赋分标准：（1）合理性（2）针对性（3）可操作性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2022年7月以来承接过类似项目的合同证明（以合同的签订日期为准）（每提供一个得2分，满分10分）（合同内容须清晰可辨认， 无涂改，否则视为无效合同）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详见附件：合同模板8.6.docx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