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版本号：ZX2025-08-4220250912001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创客实践中心及锅炉房改造工程项目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ZX2025-08-42</w:t>
      </w:r>
      <w:r>
        <w:br/>
      </w:r>
      <w:r>
        <w:br/>
      </w:r>
      <w:r>
        <w:br/>
      </w:r>
    </w:p>
    <w:p>
      <w:pPr>
        <w:pStyle w:val="null3"/>
        <w:jc w:val="center"/>
        <w:outlineLvl w:val="2"/>
      </w:pPr>
      <w:r>
        <w:rPr>
          <w:rFonts w:ascii="仿宋_GB2312" w:hAnsi="仿宋_GB2312" w:cs="仿宋_GB2312" w:eastAsia="仿宋_GB2312"/>
          <w:sz w:val="28"/>
          <w:b/>
        </w:rPr>
        <w:t>西安市碑林区大学南路小学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西安市碑林区大学南路小学</w:t>
      </w:r>
      <w:r>
        <w:rPr>
          <w:rFonts w:ascii="仿宋_GB2312" w:hAnsi="仿宋_GB2312" w:cs="仿宋_GB2312" w:eastAsia="仿宋_GB2312"/>
        </w:rPr>
        <w:t>委托，拟对</w:t>
      </w:r>
      <w:r>
        <w:rPr>
          <w:rFonts w:ascii="仿宋_GB2312" w:hAnsi="仿宋_GB2312" w:cs="仿宋_GB2312" w:eastAsia="仿宋_GB2312"/>
        </w:rPr>
        <w:t>创客实践中心及锅炉房改造工程项目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ZX2025-08-42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创客实践中心及锅炉房改造工程项目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创客实践中心及锅炉房改造工程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采购包1（创客实践中心及锅炉房改造）：属于专门面向小微企业采购。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 ：法定代表人参加投标的，须提供身份证；法定代表人授权本单位他人参加投标的，须提供法定代表人授权委托书。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 ：本项目不接受联合体投标，不允许分包。供应商应提供《非联合体不分包投标声明》。</w:t>
      </w:r>
    </w:p>
    <w:p>
      <w:pPr>
        <w:pStyle w:val="null3"/>
      </w:pPr>
      <w:r>
        <w:rPr>
          <w:rFonts w:ascii="仿宋_GB2312" w:hAnsi="仿宋_GB2312" w:cs="仿宋_GB2312" w:eastAsia="仿宋_GB2312"/>
        </w:rPr>
        <w:t>3、施工资质：供应商提供建筑工程施工总承包三级以上（含三级）资质，同时提供有效的安全生产许可证；</w:t>
      </w:r>
    </w:p>
    <w:p>
      <w:pPr>
        <w:pStyle w:val="null3"/>
      </w:pPr>
      <w:r>
        <w:rPr>
          <w:rFonts w:ascii="仿宋_GB2312" w:hAnsi="仿宋_GB2312" w:cs="仿宋_GB2312" w:eastAsia="仿宋_GB2312"/>
        </w:rPr>
        <w:t>4、拟派项目负责人资质和专业要求：拟派项目经理具有相关专业二级以上（含二级）注册建造师执业资格，并具有安全生产考核合格B证，须在本单位注册，且无其他在建工程（提供无在建工程承诺书）。</w:t>
      </w:r>
    </w:p>
    <w:p>
      <w:pPr>
        <w:pStyle w:val="null3"/>
      </w:pPr>
      <w:r>
        <w:rPr>
          <w:rFonts w:ascii="仿宋_GB2312" w:hAnsi="仿宋_GB2312" w:cs="仿宋_GB2312" w:eastAsia="仿宋_GB2312"/>
        </w:rPr>
        <w:t>5、省外企业：省外企业须在陕西省建筑市场监管与诚信信息发布平台可查询。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西安市碑林区大学南路小学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西安市碑林区大学南路68号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029-85399212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 崔文 曹婷 马演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代理服务费收费标准：参照国家计委计价格[2002]1980号及发改办价格[2003]857号通知规定，由中标人支付代理服务费。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西安市碑林区大学南路小学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西安市碑林区大学南路小学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西安市碑林区大学南路小学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根据招标文件及投标文件、合同约定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联系人：崔文 张婷</w:t>
      </w:r>
    </w:p>
    <w:p>
      <w:pPr>
        <w:pStyle w:val="null3"/>
      </w:pPr>
      <w:r>
        <w:rPr>
          <w:rFonts w:ascii="仿宋_GB2312" w:hAnsi="仿宋_GB2312" w:cs="仿宋_GB2312" w:eastAsia="仿宋_GB2312"/>
        </w:rPr>
        <w:t>联系电话：029-88110800转8025（邮箱：282909429@qq.com）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1,260,000.00</w:t>
      </w:r>
    </w:p>
    <w:p>
      <w:pPr>
        <w:pStyle w:val="null3"/>
      </w:pPr>
      <w:r>
        <w:rPr>
          <w:rFonts w:ascii="仿宋_GB2312" w:hAnsi="仿宋_GB2312" w:cs="仿宋_GB2312" w:eastAsia="仿宋_GB2312"/>
        </w:rPr>
        <w:t>采购包最高限价（元）: 1,203,055.28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1260000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1,260,000.00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工程为西安市碑林区大学南路小学创客实践中心及锅炉房改造工程，室内外的拆除与新建装饰装修、电气安装、排水等改造、创客教育实践中心文化导视及灯光改造、围墙等改造；具体内容详见工程量清单及图纸；工程量清单与图纸不符时以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严格遵守国家现行有效的消防法律法规、技术规范标准及地方消防部门规定；符合教育部门关于学校建筑消防安全管理的相关要求；负责通过消防部门验收并取得合格文件。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1.工期要求：合同签订之日起30个日历日内完成竣工。 2.施工地点：西安市碑林区大学南路小学。 3.保修期：两年。 4.工程质量：合格。 5.缺陷责任期：两年；6.采购资金的支付：（1）合同签订后， 达到付款条件起 7 日内，支付合同总金额的 40.00%；（2）施工进度达到80% ，达到付款条件起 7 日内，支付合同总金额的 40.00%；（3）竣工验收合格后成交供应商报送结算资料，结算资料经审定后 ，达到付款条件起 15 日内，支付至最终决算价款100%。 7.违约责任与解决争议的方法：（1）甲方应在合同规定的时间内，向乙方支付工程款，每拖延一天，向乙方支付合同总金额的 5‰的违约金。 （2）乙方未能按时完工，每拖延一天，须向甲方支付合同金额5‰的违约金。（3）乙方不遵守合同约定，不履行或者不完全履行义务，甲方有权要求乙方支付合同总价的3%的违约金，若违约金不足以弥补甲方所受损失，则乙方应当承担赔偿责任。（4）乙方不履行售后服务义务或者履行不及时给甲方造成损失的，乙方应当予以赔偿。乙方不履行售后服务超过20 天，甲方有权购买第三方服务，购买第三方服务的费用由乙方负责，并在第三方完成后一个月内向甲方支付。 解决争议的办法：向有管辖权的人民法院提起诉讼。</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报价说明 （1）供应商应充分考虑磋商文件的各项要求和本工程的实际情况，根据自身实力，充分考虑材料价格、人工费、物价上涨等市场变化的风险，自主报价，风险自担。（2）不可竞争的规费、税金、安全文明施工费按计价规则的规定计取，营改增按陕建发调整陕西省建设工程计价依据的通知执行，磋商报价中包含所有费用。（3）本工程材料采购需采购人进行认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供应商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供应商应提供相关文件证明； ④ 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响应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1供应商资格证明文件.docx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小微企业采购，投标人应为小型、微型企业或监狱企业或残疾人福利性单位。投标人为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供应商提供建筑工程施工总承包三级以上（含三级）资质，同时提供有效的安全生产许可证；</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拟派项目经理具有相关专业二级以上（含二级）注册建造师执业资格，并具有安全生产考核合格B证，须在本单位注册，且无其他在建工程（提供无在建工程承诺书）。</w:t>
            </w:r>
          </w:p>
        </w:tc>
        <w:tc>
          <w:tcPr>
            <w:tcW w:type="dxa" w:w="1661"/>
          </w:tcPr>
          <w:p>
            <w:pPr>
              <w:pStyle w:val="null3"/>
            </w:pPr>
            <w:r>
              <w:rPr>
                <w:rFonts w:ascii="仿宋_GB2312" w:hAnsi="仿宋_GB2312" w:cs="仿宋_GB2312" w:eastAsia="仿宋_GB2312"/>
              </w:rPr>
              <w:t>1供应商资格证明文件.docx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省外企业</w:t>
            </w:r>
          </w:p>
        </w:tc>
        <w:tc>
          <w:tcPr>
            <w:tcW w:type="dxa" w:w="3322"/>
          </w:tcPr>
          <w:p>
            <w:pPr>
              <w:pStyle w:val="null3"/>
            </w:pPr>
            <w:r>
              <w:rPr>
                <w:rFonts w:ascii="仿宋_GB2312" w:hAnsi="仿宋_GB2312" w:cs="仿宋_GB2312" w:eastAsia="仿宋_GB2312"/>
              </w:rPr>
              <w:t>省外企业须在陕西省建筑市场监管与诚信信息发布平台可查询。</w:t>
            </w:r>
          </w:p>
        </w:tc>
        <w:tc>
          <w:tcPr>
            <w:tcW w:type="dxa" w:w="1661"/>
          </w:tcPr>
          <w:p>
            <w:pPr>
              <w:pStyle w:val="null3"/>
            </w:pPr>
            <w:r>
              <w:rPr>
                <w:rFonts w:ascii="仿宋_GB2312" w:hAnsi="仿宋_GB2312" w:cs="仿宋_GB2312" w:eastAsia="仿宋_GB2312"/>
              </w:rPr>
              <w:t>1供应商资格证明文件.docx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 1供应商资格证明文件.docx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满足本磋商文件中“三、针对本项目的其他技术服务要求”的</w:t>
            </w:r>
          </w:p>
        </w:tc>
        <w:tc>
          <w:tcPr>
            <w:tcW w:type="dxa" w:w="1661"/>
          </w:tcPr>
          <w:p>
            <w:pPr>
              <w:pStyle w:val="null3"/>
            </w:pPr>
            <w:r>
              <w:rPr>
                <w:rFonts w:ascii="仿宋_GB2312" w:hAnsi="仿宋_GB2312" w:cs="仿宋_GB2312" w:eastAsia="仿宋_GB2312"/>
              </w:rPr>
              <w:t>3商务部分偏离表.docx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2承诺书.docx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项目经理部</w:t>
            </w:r>
          </w:p>
        </w:tc>
        <w:tc>
          <w:tcPr>
            <w:tcW w:type="dxa" w:w="2492"/>
          </w:tcPr>
          <w:p>
            <w:pPr>
              <w:pStyle w:val="null3"/>
            </w:pPr>
            <w:r>
              <w:rPr>
                <w:rFonts w:ascii="仿宋_GB2312" w:hAnsi="仿宋_GB2312" w:cs="仿宋_GB2312" w:eastAsia="仿宋_GB2312"/>
              </w:rPr>
              <w:t>供应商提供项目经理部人员组成，安排合理、分工明确、无工作盲区、有针对性。其中项目经理职责包括①负责对整个项目的日常管理与资源调配、②推进项目进行、③解决各种紧急事件等，项目经理由具有丰富工程经验的专业人士担任。 满足项目实际要求，无瑕疵：8分；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供应商提供针对本项目的施工方案，包括①施工工艺、②劳动力配置计划、③临时用水、用电方案等方面。施工方案应符合采购项目特点及要求，描述详尽且有利于项目实施。 满足项目实际要求，无瑕疵：10分； 方案内容存在1处瑕疵：9分； 方案内容存在2处瑕疵：8分； 方案内容存在3处瑕疵：7分； 方案内容存在4处瑕疵：6分； 方案内容存在5处瑕疵：5分； 方案内容存在6处瑕疵：4分； 方案内容存在7处瑕疵：3分； 方案内容存在8处瑕疵：2分； 方案内容存在9处瑕疵：1分； 未提供方案或内容存在10处及以上瑕疵：0分。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4施工方案.docx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施工进度计划： 供应商针对本项目工期要求及施工特点，提供针对本项目的施工进度计划，包括①工程总进度施工计划、②施工进度计划横道图、③进度控制保证措施。内容应符合采购项目特点及要求，描述详尽且有利于项目实施。 满足项目实际要求，无瑕疵：9分； 内容存在1处瑕疵：8分； 内容存在2处瑕疵：7分； 内容存在3处瑕疵：6分； 内容存在4处瑕疵：5分； 内容存在5处瑕疵：4分； 内容存在6处瑕疵：3分； 内容存在7处瑕疵：2分； 内容存在8处瑕疵：1分； 未提供或内容存在9处及以上瑕疵：0分。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5施工进度计划.docx</w:t>
            </w:r>
          </w:p>
        </w:tc>
      </w:tr>
      <w:tr>
        <w:tc>
          <w:tcPr>
            <w:tcW w:type="dxa" w:w="831"/>
            <w:vMerge/>
          </w:tcPr>
          <w:p/>
        </w:tc>
        <w:tc>
          <w:tcPr>
            <w:tcW w:type="dxa" w:w="1661"/>
          </w:tcPr>
          <w:p>
            <w:pPr>
              <w:pStyle w:val="null3"/>
            </w:pPr>
            <w:r>
              <w:rPr>
                <w:rFonts w:ascii="仿宋_GB2312" w:hAnsi="仿宋_GB2312" w:cs="仿宋_GB2312" w:eastAsia="仿宋_GB2312"/>
              </w:rPr>
              <w:t>质量技术组织措施</w:t>
            </w:r>
          </w:p>
        </w:tc>
        <w:tc>
          <w:tcPr>
            <w:tcW w:type="dxa" w:w="2492"/>
          </w:tcPr>
          <w:p>
            <w:pPr>
              <w:pStyle w:val="null3"/>
            </w:pPr>
            <w:r>
              <w:rPr>
                <w:rFonts w:ascii="仿宋_GB2312" w:hAnsi="仿宋_GB2312" w:cs="仿宋_GB2312" w:eastAsia="仿宋_GB2312"/>
              </w:rPr>
              <w:t>供应商提供针对本项目的质量技术组织措施，包括①质量目标、②技术保障措施、③质量全过程检查制度。内容应符合采购项目特点及要求，描述详尽且有利于项目实施。 满足项目实际要求，无瑕疵：7分； 内容存在1处瑕疵：6分； 内容存在2处瑕疵：5分； 内容存在3处瑕疵：4分； 内容存在4处瑕疵：3分； 内容存在5处瑕疵：2分； 内容存在6处瑕疵：1分； 未提供或内容存在7处及以上瑕疵：0分。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6质量技术组织措施.docx</w:t>
            </w:r>
          </w:p>
        </w:tc>
      </w:tr>
      <w:tr>
        <w:tc>
          <w:tcPr>
            <w:tcW w:type="dxa" w:w="831"/>
            <w:vMerge/>
          </w:tcPr>
          <w:p/>
        </w:tc>
        <w:tc>
          <w:tcPr>
            <w:tcW w:type="dxa" w:w="1661"/>
          </w:tcPr>
          <w:p>
            <w:pPr>
              <w:pStyle w:val="null3"/>
            </w:pPr>
            <w:r>
              <w:rPr>
                <w:rFonts w:ascii="仿宋_GB2312" w:hAnsi="仿宋_GB2312" w:cs="仿宋_GB2312" w:eastAsia="仿宋_GB2312"/>
              </w:rPr>
              <w:t>资源供应计划</w:t>
            </w:r>
          </w:p>
        </w:tc>
        <w:tc>
          <w:tcPr>
            <w:tcW w:type="dxa" w:w="2492"/>
          </w:tcPr>
          <w:p>
            <w:pPr>
              <w:pStyle w:val="null3"/>
            </w:pPr>
            <w:r>
              <w:rPr>
                <w:rFonts w:ascii="仿宋_GB2312" w:hAnsi="仿宋_GB2312" w:cs="仿宋_GB2312" w:eastAsia="仿宋_GB2312"/>
              </w:rPr>
              <w:t>供应商针对本项目施工内容及需求拟定资源供应计划，包括①主要材料需求计划、②机械设备需求计划、③临时设施布置计划。计划制定应符合项目需求、充分考虑各项工程技术及材料要求。 满足项目实际要求，无瑕疵：6分； 内容存在1处瑕疵：5分； 内容存在2处瑕疵：4分； 内容存在3处瑕疵：3分； 内容存在4处瑕疵：2分； 内容存在5处瑕疵：1分； 未提供或内容存在6处及以上瑕疵：0分。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7资源供应计划.docx</w:t>
            </w:r>
          </w:p>
        </w:tc>
      </w:tr>
      <w:tr>
        <w:tc>
          <w:tcPr>
            <w:tcW w:type="dxa" w:w="831"/>
            <w:vMerge/>
          </w:tcPr>
          <w:p/>
        </w:tc>
        <w:tc>
          <w:tcPr>
            <w:tcW w:type="dxa" w:w="1661"/>
          </w:tcPr>
          <w:p>
            <w:pPr>
              <w:pStyle w:val="null3"/>
            </w:pPr>
            <w:r>
              <w:rPr>
                <w:rFonts w:ascii="仿宋_GB2312" w:hAnsi="仿宋_GB2312" w:cs="仿宋_GB2312" w:eastAsia="仿宋_GB2312"/>
              </w:rPr>
              <w:t>周边设施及成品保护措施</w:t>
            </w:r>
          </w:p>
        </w:tc>
        <w:tc>
          <w:tcPr>
            <w:tcW w:type="dxa" w:w="2492"/>
          </w:tcPr>
          <w:p>
            <w:pPr>
              <w:pStyle w:val="null3"/>
            </w:pPr>
            <w:r>
              <w:rPr>
                <w:rFonts w:ascii="仿宋_GB2312" w:hAnsi="仿宋_GB2312" w:cs="仿宋_GB2312" w:eastAsia="仿宋_GB2312"/>
              </w:rPr>
              <w:t>供应商提供针对本项目施工过程中，针对周边设施和成品的保护措施，以避免不必要的损失。 满足项目实际要求，无瑕疵：4分； 内容存在1处瑕疵：3分； 内容存在2处瑕疵：2分； 内容存在3处瑕疵：1分；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8周边设施及成品保护措施.docx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 供应商提供项目应急预案，包括但不限于赶工应急处理方案、突发事件的应急响应预案及处理措施。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9应急预案.docx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安全保证措施： 供应商结合工程环境、特点，提供针对本项目的安全保证措施包括①项目安全管理目标、②安全管理组织机构、③安全生产管理制度及安全保障措施。内容应符合采购项目特点及要求，描述详尽且有利于保障项目实施安全。 满足项目实际要求，无瑕疵：5分； 内容存在1处瑕疵：4分； 内容存在2处瑕疵：3分； 内容存在3处瑕疵：2分； 内容存在4处瑕疵：1分； 未提供或内容存在5处及以上瑕疵：0分。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10安全保证措施.docx</w:t>
            </w:r>
          </w:p>
        </w:tc>
      </w:tr>
      <w:tr>
        <w:tc>
          <w:tcPr>
            <w:tcW w:type="dxa" w:w="831"/>
            <w:vMerge/>
          </w:tcPr>
          <w:p/>
        </w:tc>
        <w:tc>
          <w:tcPr>
            <w:tcW w:type="dxa" w:w="1661"/>
          </w:tcPr>
          <w:p>
            <w:pPr>
              <w:pStyle w:val="null3"/>
            </w:pPr>
            <w:r>
              <w:rPr>
                <w:rFonts w:ascii="仿宋_GB2312" w:hAnsi="仿宋_GB2312" w:cs="仿宋_GB2312" w:eastAsia="仿宋_GB2312"/>
              </w:rPr>
              <w:t>环保文明措施</w:t>
            </w:r>
          </w:p>
        </w:tc>
        <w:tc>
          <w:tcPr>
            <w:tcW w:type="dxa" w:w="2492"/>
          </w:tcPr>
          <w:p>
            <w:pPr>
              <w:pStyle w:val="null3"/>
            </w:pPr>
            <w:r>
              <w:rPr>
                <w:rFonts w:ascii="仿宋_GB2312" w:hAnsi="仿宋_GB2312" w:cs="仿宋_GB2312" w:eastAsia="仿宋_GB2312"/>
              </w:rPr>
              <w:t>供应商结合工程环境、特点，提供环保文明措施，包括但不限于①文明施工与环境管理目标、②文明施工与环境管理的组织机构、③文明施工与场环境保护的控制措施。 满足项目实际要求，无瑕疵：4分； 方案内容存在1处瑕疵：3分； 方案内容存在2处瑕疵：2分； 方案内容存在3处瑕疵：1分； 未提供方案或内容存在4处及以上瑕疵：0分。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11环保文明措施.docx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提供供应商2022年1月1日至今同类项目合同，每提供1份得1分，最高得3分。 备注：业绩时间以合同签订时间所体现的时间为准；响应文件中提供合同复印件加盖公章。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vMerge/>
          </w:tcPr>
          <w:p/>
        </w:tc>
        <w:tc>
          <w:tcPr>
            <w:tcW w:type="dxa" w:w="1661"/>
          </w:tcPr>
          <w:p>
            <w:pPr>
              <w:pStyle w:val="null3"/>
            </w:pPr>
            <w:r>
              <w:rPr>
                <w:rFonts w:ascii="仿宋_GB2312" w:hAnsi="仿宋_GB2312" w:cs="仿宋_GB2312" w:eastAsia="仿宋_GB2312"/>
              </w:rPr>
              <w:t>施工保修承诺书</w:t>
            </w:r>
          </w:p>
        </w:tc>
        <w:tc>
          <w:tcPr>
            <w:tcW w:type="dxa" w:w="2492"/>
          </w:tcPr>
          <w:p>
            <w:pPr>
              <w:pStyle w:val="null3"/>
            </w:pPr>
            <w:r>
              <w:rPr>
                <w:rFonts w:ascii="仿宋_GB2312" w:hAnsi="仿宋_GB2312" w:cs="仿宋_GB2312" w:eastAsia="仿宋_GB2312"/>
              </w:rPr>
              <w:t>供应商根据本项目需求，提供施工单位的施工保修承诺书，其中保修承诺内容须包含保修内容及范围、质量保修责任等。 1、施工保修承诺书完全满足项目实际需求，无瑕疵计4分； 2、施工保修承诺书存在1处瑕疵计3分； 3、施工保修承诺书存在2处瑕疵计2分； 4、施工保修承诺书存在3处瑕疵计1分； 5、施工保修承诺书存在4处及以上瑕疵或未提供计0分。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13施工保修承诺书.docx</w:t>
            </w:r>
          </w:p>
        </w:tc>
      </w:tr>
      <w:tr>
        <w:tc>
          <w:tcPr>
            <w:tcW w:type="dxa" w:w="831"/>
            <w:vMerge/>
          </w:tcPr>
          <w:p/>
        </w:tc>
        <w:tc>
          <w:tcPr>
            <w:tcW w:type="dxa" w:w="1661"/>
          </w:tcPr>
          <w:p>
            <w:pPr>
              <w:pStyle w:val="null3"/>
            </w:pPr>
            <w:r>
              <w:rPr>
                <w:rFonts w:ascii="仿宋_GB2312" w:hAnsi="仿宋_GB2312" w:cs="仿宋_GB2312" w:eastAsia="仿宋_GB2312"/>
              </w:rPr>
              <w:t>工程质量承诺</w:t>
            </w:r>
          </w:p>
        </w:tc>
        <w:tc>
          <w:tcPr>
            <w:tcW w:type="dxa" w:w="2492"/>
          </w:tcPr>
          <w:p>
            <w:pPr>
              <w:pStyle w:val="null3"/>
            </w:pPr>
            <w:r>
              <w:rPr>
                <w:rFonts w:ascii="仿宋_GB2312" w:hAnsi="仿宋_GB2312" w:cs="仿宋_GB2312" w:eastAsia="仿宋_GB2312"/>
              </w:rPr>
              <w:t>供应商须确保工程质量符合国家标准、规范，并满足工程技术要求。 1、工程质量承诺完全满足项目实际需求，无瑕疵计4分； 2、工程质量承诺存在1处瑕疵计3分； 3、工程质量承诺存在2处瑕疵计2分； 4、工程质量承诺存在3处瑕疵计1分； 5、工程质量承诺存在4处及以上瑕疵或未提供计0分。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14工程质量承诺.docx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磋商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价格分统一采用低价优先法计算，即满足磋商文件要求且响应价格最低的响应报价为评标基准价，其价格分为满分。其他供应商的价格分统一按照下列公式计算：价格分=(评标基准价／响应报价)×报价分值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详见附件：2承诺书.docx</w:t>
      </w:r>
    </w:p>
    <w:p>
      <w:pPr>
        <w:pStyle w:val="null3"/>
        <w:ind w:firstLine="960"/>
      </w:pPr>
      <w:r>
        <w:rPr>
          <w:rFonts w:ascii="仿宋_GB2312" w:hAnsi="仿宋_GB2312" w:cs="仿宋_GB2312" w:eastAsia="仿宋_GB2312"/>
        </w:rPr>
        <w:t>详见附件：1供应商资格证明文件.docx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详见附件：4施工方案.docx</w:t>
      </w:r>
    </w:p>
    <w:p>
      <w:pPr>
        <w:pStyle w:val="null3"/>
        <w:ind w:firstLine="960"/>
      </w:pPr>
      <w:r>
        <w:rPr>
          <w:rFonts w:ascii="仿宋_GB2312" w:hAnsi="仿宋_GB2312" w:cs="仿宋_GB2312" w:eastAsia="仿宋_GB2312"/>
        </w:rPr>
        <w:t>详见附件：5施工进度计划.docx</w:t>
      </w:r>
    </w:p>
    <w:p>
      <w:pPr>
        <w:pStyle w:val="null3"/>
        <w:ind w:firstLine="960"/>
      </w:pPr>
      <w:r>
        <w:rPr>
          <w:rFonts w:ascii="仿宋_GB2312" w:hAnsi="仿宋_GB2312" w:cs="仿宋_GB2312" w:eastAsia="仿宋_GB2312"/>
        </w:rPr>
        <w:t>详见附件：6质量技术组织措施.docx</w:t>
      </w:r>
    </w:p>
    <w:p>
      <w:pPr>
        <w:pStyle w:val="null3"/>
        <w:ind w:firstLine="960"/>
      </w:pPr>
      <w:r>
        <w:rPr>
          <w:rFonts w:ascii="仿宋_GB2312" w:hAnsi="仿宋_GB2312" w:cs="仿宋_GB2312" w:eastAsia="仿宋_GB2312"/>
        </w:rPr>
        <w:t>详见附件：7资源供应计划.docx</w:t>
      </w:r>
    </w:p>
    <w:p>
      <w:pPr>
        <w:pStyle w:val="null3"/>
        <w:ind w:firstLine="960"/>
      </w:pPr>
      <w:r>
        <w:rPr>
          <w:rFonts w:ascii="仿宋_GB2312" w:hAnsi="仿宋_GB2312" w:cs="仿宋_GB2312" w:eastAsia="仿宋_GB2312"/>
        </w:rPr>
        <w:t>详见附件：8周边设施及成品保护措施.docx</w:t>
      </w:r>
    </w:p>
    <w:p>
      <w:pPr>
        <w:pStyle w:val="null3"/>
        <w:ind w:firstLine="960"/>
      </w:pPr>
      <w:r>
        <w:rPr>
          <w:rFonts w:ascii="仿宋_GB2312" w:hAnsi="仿宋_GB2312" w:cs="仿宋_GB2312" w:eastAsia="仿宋_GB2312"/>
        </w:rPr>
        <w:t>详见附件：9应急预案.docx</w:t>
      </w:r>
    </w:p>
    <w:p>
      <w:pPr>
        <w:pStyle w:val="null3"/>
        <w:ind w:firstLine="960"/>
      </w:pPr>
      <w:r>
        <w:rPr>
          <w:rFonts w:ascii="仿宋_GB2312" w:hAnsi="仿宋_GB2312" w:cs="仿宋_GB2312" w:eastAsia="仿宋_GB2312"/>
        </w:rPr>
        <w:t>详见附件：10安全保证措施.docx</w:t>
      </w:r>
    </w:p>
    <w:p>
      <w:pPr>
        <w:pStyle w:val="null3"/>
        <w:ind w:firstLine="960"/>
      </w:pPr>
      <w:r>
        <w:rPr>
          <w:rFonts w:ascii="仿宋_GB2312" w:hAnsi="仿宋_GB2312" w:cs="仿宋_GB2312" w:eastAsia="仿宋_GB2312"/>
        </w:rPr>
        <w:t>详见附件：11环保文明措施.docx</w:t>
      </w:r>
    </w:p>
    <w:p>
      <w:pPr>
        <w:pStyle w:val="null3"/>
        <w:ind w:firstLine="960"/>
      </w:pPr>
      <w:r>
        <w:rPr>
          <w:rFonts w:ascii="仿宋_GB2312" w:hAnsi="仿宋_GB2312" w:cs="仿宋_GB2312" w:eastAsia="仿宋_GB2312"/>
        </w:rPr>
        <w:t>详见附件：12业绩.docx</w:t>
      </w:r>
    </w:p>
    <w:p>
      <w:pPr>
        <w:pStyle w:val="null3"/>
        <w:ind w:firstLine="960"/>
      </w:pPr>
      <w:r>
        <w:rPr>
          <w:rFonts w:ascii="仿宋_GB2312" w:hAnsi="仿宋_GB2312" w:cs="仿宋_GB2312" w:eastAsia="仿宋_GB2312"/>
        </w:rPr>
        <w:t>详见附件：13施工保修承诺书.docx</w:t>
      </w:r>
    </w:p>
    <w:p>
      <w:pPr>
        <w:pStyle w:val="null3"/>
        <w:ind w:firstLine="960"/>
      </w:pPr>
      <w:r>
        <w:rPr>
          <w:rFonts w:ascii="仿宋_GB2312" w:hAnsi="仿宋_GB2312" w:cs="仿宋_GB2312" w:eastAsia="仿宋_GB2312"/>
        </w:rPr>
        <w:t>详见附件：14工程质量承诺.docx</w:t>
      </w:r>
    </w:p>
    <w:p>
      <w:pPr>
        <w:pStyle w:val="null3"/>
        <w:ind w:firstLine="960"/>
      </w:pPr>
      <w:r>
        <w:rPr>
          <w:rFonts w:ascii="仿宋_GB2312" w:hAnsi="仿宋_GB2312" w:cs="仿宋_GB2312" w:eastAsia="仿宋_GB2312"/>
        </w:rPr>
        <w:t>详见附件：15节能环保.docx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