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2C993">
      <w:pPr>
        <w:pStyle w:val="12"/>
        <w:ind w:firstLine="640" w:firstLineChars="200"/>
        <w:rPr>
          <w:rFonts w:ascii="仿宋" w:hAnsi="仿宋"/>
          <w:szCs w:val="32"/>
          <w:highlight w:val="none"/>
        </w:rPr>
      </w:pPr>
    </w:p>
    <w:p w14:paraId="49F15823">
      <w:pPr>
        <w:jc w:val="center"/>
        <w:rPr>
          <w:rFonts w:hint="eastAsia" w:ascii="仿宋" w:hAnsi="仿宋" w:cs="宋体"/>
          <w:b/>
          <w:color w:val="000000"/>
          <w:sz w:val="48"/>
          <w:szCs w:val="48"/>
          <w:highlight w:val="none"/>
        </w:rPr>
      </w:pPr>
    </w:p>
    <w:p w14:paraId="6F7EB621">
      <w:pPr>
        <w:jc w:val="center"/>
        <w:rPr>
          <w:rFonts w:hint="eastAsia" w:ascii="仿宋" w:hAnsi="仿宋" w:cs="宋体"/>
          <w:b/>
          <w:color w:val="000000"/>
          <w:sz w:val="48"/>
          <w:szCs w:val="48"/>
          <w:highlight w:val="none"/>
        </w:rPr>
      </w:pPr>
    </w:p>
    <w:p w14:paraId="5183687A">
      <w:pPr>
        <w:jc w:val="center"/>
        <w:rPr>
          <w:rFonts w:ascii="仿宋" w:hAnsi="仿宋" w:cs="宋体"/>
          <w:b/>
          <w:color w:val="000000"/>
          <w:sz w:val="48"/>
          <w:szCs w:val="48"/>
          <w:highlight w:val="none"/>
        </w:rPr>
      </w:pPr>
      <w:r>
        <w:rPr>
          <w:rFonts w:hint="eastAsia" w:ascii="仿宋" w:hAnsi="仿宋" w:cs="宋体"/>
          <w:b/>
          <w:color w:val="000000"/>
          <w:sz w:val="48"/>
          <w:szCs w:val="48"/>
          <w:highlight w:val="none"/>
        </w:rPr>
        <w:t>建设工程施工合同</w:t>
      </w:r>
    </w:p>
    <w:p w14:paraId="43144465">
      <w:pPr>
        <w:jc w:val="center"/>
        <w:rPr>
          <w:rFonts w:ascii="仿宋" w:hAnsi="仿宋" w:cs="宋体"/>
          <w:b/>
          <w:color w:val="000000"/>
          <w:sz w:val="44"/>
          <w:szCs w:val="44"/>
          <w:highlight w:val="none"/>
        </w:rPr>
      </w:pPr>
    </w:p>
    <w:p w14:paraId="4BA64463">
      <w:pPr>
        <w:spacing w:line="500" w:lineRule="exact"/>
        <w:jc w:val="center"/>
        <w:rPr>
          <w:rFonts w:ascii="仿宋" w:hAnsi="仿宋" w:cs="黑体"/>
          <w:sz w:val="30"/>
          <w:szCs w:val="30"/>
          <w:highlight w:val="none"/>
        </w:rPr>
      </w:pPr>
      <w:r>
        <w:rPr>
          <w:rFonts w:hint="eastAsia" w:ascii="仿宋" w:hAnsi="仿宋" w:cs="黑体"/>
          <w:sz w:val="30"/>
          <w:szCs w:val="30"/>
          <w:highlight w:val="none"/>
        </w:rPr>
        <w:t>(示范文本，仅供参考)</w:t>
      </w:r>
    </w:p>
    <w:p w14:paraId="4A3AF517">
      <w:pPr>
        <w:jc w:val="center"/>
        <w:rPr>
          <w:rFonts w:ascii="仿宋" w:hAnsi="仿宋"/>
          <w:b/>
          <w:color w:val="000000"/>
          <w:sz w:val="52"/>
          <w:szCs w:val="52"/>
          <w:highlight w:val="none"/>
        </w:rPr>
      </w:pPr>
    </w:p>
    <w:p w14:paraId="53690B8C">
      <w:pPr>
        <w:jc w:val="center"/>
        <w:rPr>
          <w:rFonts w:ascii="仿宋" w:hAnsi="仿宋"/>
          <w:b/>
          <w:color w:val="000000"/>
          <w:sz w:val="72"/>
          <w:szCs w:val="72"/>
          <w:highlight w:val="none"/>
        </w:rPr>
      </w:pPr>
    </w:p>
    <w:p w14:paraId="184BF2B9">
      <w:pPr>
        <w:rPr>
          <w:rFonts w:ascii="仿宋" w:hAnsi="仿宋"/>
          <w:b/>
          <w:color w:val="000000"/>
          <w:sz w:val="52"/>
          <w:szCs w:val="52"/>
          <w:highlight w:val="none"/>
        </w:rPr>
      </w:pPr>
    </w:p>
    <w:p w14:paraId="40D6CFD0">
      <w:pPr>
        <w:rPr>
          <w:rFonts w:ascii="仿宋" w:hAnsi="仿宋"/>
          <w:b/>
          <w:color w:val="000000"/>
          <w:sz w:val="28"/>
          <w:szCs w:val="28"/>
          <w:highlight w:val="none"/>
        </w:rPr>
      </w:pPr>
    </w:p>
    <w:p w14:paraId="1A9B37AF">
      <w:pPr>
        <w:rPr>
          <w:rFonts w:ascii="仿宋" w:hAnsi="仿宋"/>
          <w:b/>
          <w:color w:val="000000"/>
          <w:sz w:val="28"/>
          <w:szCs w:val="28"/>
          <w:highlight w:val="none"/>
        </w:rPr>
      </w:pPr>
    </w:p>
    <w:p w14:paraId="06C8909C">
      <w:pPr>
        <w:rPr>
          <w:rFonts w:ascii="仿宋" w:hAnsi="仿宋"/>
          <w:b/>
          <w:color w:val="000000"/>
          <w:sz w:val="28"/>
          <w:szCs w:val="28"/>
          <w:highlight w:val="none"/>
        </w:rPr>
      </w:pPr>
    </w:p>
    <w:p w14:paraId="6C9D6353">
      <w:pPr>
        <w:rPr>
          <w:rFonts w:ascii="仿宋" w:hAnsi="仿宋"/>
          <w:b/>
          <w:color w:val="000000"/>
          <w:sz w:val="28"/>
          <w:szCs w:val="28"/>
          <w:highlight w:val="none"/>
        </w:rPr>
      </w:pPr>
    </w:p>
    <w:tbl>
      <w:tblPr>
        <w:tblStyle w:val="18"/>
        <w:tblW w:w="0" w:type="auto"/>
        <w:jc w:val="center"/>
        <w:tblLayout w:type="fixed"/>
        <w:tblCellMar>
          <w:top w:w="0" w:type="dxa"/>
          <w:left w:w="75" w:type="dxa"/>
          <w:bottom w:w="0" w:type="dxa"/>
          <w:right w:w="75" w:type="dxa"/>
        </w:tblCellMar>
      </w:tblPr>
      <w:tblGrid>
        <w:gridCol w:w="3481"/>
        <w:gridCol w:w="479"/>
      </w:tblGrid>
      <w:tr w14:paraId="69A57B8E">
        <w:tblPrEx>
          <w:tblCellMar>
            <w:top w:w="0" w:type="dxa"/>
            <w:left w:w="75" w:type="dxa"/>
            <w:bottom w:w="0" w:type="dxa"/>
            <w:right w:w="75" w:type="dxa"/>
          </w:tblCellMar>
        </w:tblPrEx>
        <w:trPr>
          <w:cantSplit/>
          <w:trHeight w:val="766" w:hRule="atLeast"/>
          <w:jc w:val="center"/>
        </w:trPr>
        <w:tc>
          <w:tcPr>
            <w:tcW w:w="3481" w:type="dxa"/>
            <w:noWrap w:val="0"/>
            <w:vAlign w:val="center"/>
          </w:tcPr>
          <w:p w14:paraId="1DE1AC97">
            <w:pPr>
              <w:rPr>
                <w:rFonts w:ascii="仿宋" w:hAnsi="仿宋"/>
                <w:b/>
                <w:bCs/>
                <w:sz w:val="28"/>
                <w:szCs w:val="28"/>
                <w:highlight w:val="none"/>
              </w:rPr>
            </w:pPr>
            <w:r>
              <w:rPr>
                <w:highlight w:val="none"/>
              </w:rPr>
              <w:fldChar w:fldCharType="begin"/>
            </w:r>
            <w:r>
              <w:rPr>
                <w:rFonts w:hint="eastAsia" w:ascii="仿宋" w:hAnsi="仿宋"/>
                <w:b/>
                <w:bCs/>
                <w:sz w:val="28"/>
                <w:szCs w:val="28"/>
                <w:highlight w:val="none"/>
              </w:rPr>
              <w:instrText xml:space="preserve">PRIVATE</w:instrText>
            </w:r>
            <w:r>
              <w:rPr>
                <w:rFonts w:ascii="仿宋" w:hAnsi="仿宋"/>
                <w:b/>
                <w:bCs/>
                <w:sz w:val="28"/>
                <w:szCs w:val="28"/>
                <w:highlight w:val="none"/>
              </w:rPr>
              <w:fldChar w:fldCharType="end"/>
            </w:r>
            <w:r>
              <w:rPr>
                <w:rFonts w:hint="eastAsia" w:ascii="仿宋" w:hAnsi="仿宋"/>
                <w:b/>
                <w:bCs/>
                <w:sz w:val="28"/>
                <w:szCs w:val="28"/>
                <w:highlight w:val="none"/>
              </w:rPr>
              <w:t>中华人民共和国建设部</w:t>
            </w:r>
          </w:p>
        </w:tc>
        <w:tc>
          <w:tcPr>
            <w:tcW w:w="479" w:type="dxa"/>
            <w:vMerge w:val="restart"/>
            <w:noWrap w:val="0"/>
            <w:vAlign w:val="center"/>
          </w:tcPr>
          <w:p w14:paraId="3460C8F4">
            <w:pPr>
              <w:rPr>
                <w:rFonts w:ascii="仿宋" w:hAnsi="仿宋"/>
                <w:b/>
                <w:bCs/>
                <w:sz w:val="28"/>
                <w:szCs w:val="28"/>
                <w:highlight w:val="none"/>
              </w:rPr>
            </w:pPr>
            <w:r>
              <w:rPr>
                <w:rFonts w:hint="eastAsia" w:ascii="仿宋" w:hAnsi="仿宋"/>
                <w:b/>
                <w:bCs/>
                <w:sz w:val="28"/>
                <w:szCs w:val="28"/>
                <w:highlight w:val="none"/>
              </w:rPr>
              <w:t>制定</w:t>
            </w:r>
          </w:p>
        </w:tc>
      </w:tr>
      <w:tr w14:paraId="55B17B49">
        <w:tblPrEx>
          <w:tblCellMar>
            <w:top w:w="0" w:type="dxa"/>
            <w:left w:w="75" w:type="dxa"/>
            <w:bottom w:w="0" w:type="dxa"/>
            <w:right w:w="75" w:type="dxa"/>
          </w:tblCellMar>
        </w:tblPrEx>
        <w:trPr>
          <w:cantSplit/>
          <w:jc w:val="center"/>
        </w:trPr>
        <w:tc>
          <w:tcPr>
            <w:tcW w:w="3481" w:type="dxa"/>
            <w:noWrap w:val="0"/>
            <w:vAlign w:val="center"/>
          </w:tcPr>
          <w:p w14:paraId="7B9E7067">
            <w:pPr>
              <w:rPr>
                <w:rFonts w:ascii="仿宋" w:hAnsi="仿宋"/>
                <w:b/>
                <w:bCs/>
                <w:sz w:val="28"/>
                <w:szCs w:val="28"/>
                <w:highlight w:val="none"/>
              </w:rPr>
            </w:pPr>
            <w:r>
              <w:rPr>
                <w:rFonts w:hint="eastAsia" w:ascii="仿宋" w:hAnsi="仿宋"/>
                <w:b/>
                <w:bCs/>
                <w:sz w:val="28"/>
                <w:szCs w:val="28"/>
                <w:highlight w:val="none"/>
              </w:rPr>
              <w:t>国家工商行政管理局</w:t>
            </w:r>
          </w:p>
        </w:tc>
        <w:tc>
          <w:tcPr>
            <w:tcW w:w="479" w:type="dxa"/>
            <w:vMerge w:val="continue"/>
            <w:noWrap w:val="0"/>
            <w:vAlign w:val="center"/>
          </w:tcPr>
          <w:p w14:paraId="104910BC">
            <w:pPr>
              <w:widowControl/>
              <w:jc w:val="left"/>
              <w:rPr>
                <w:rFonts w:ascii="仿宋" w:hAnsi="仿宋"/>
                <w:b/>
                <w:bCs/>
                <w:sz w:val="28"/>
                <w:szCs w:val="28"/>
                <w:highlight w:val="none"/>
              </w:rPr>
            </w:pPr>
          </w:p>
        </w:tc>
      </w:tr>
    </w:tbl>
    <w:p w14:paraId="5C4E333F">
      <w:pPr>
        <w:rPr>
          <w:rFonts w:ascii="仿宋" w:hAnsi="仿宋"/>
          <w:b/>
          <w:color w:val="000000"/>
          <w:sz w:val="21"/>
          <w:highlight w:val="none"/>
        </w:rPr>
      </w:pPr>
    </w:p>
    <w:p w14:paraId="6B239B1E">
      <w:pPr>
        <w:rPr>
          <w:rFonts w:ascii="仿宋" w:hAnsi="仿宋"/>
          <w:b/>
          <w:color w:val="000000"/>
          <w:sz w:val="21"/>
          <w:highlight w:val="none"/>
        </w:rPr>
      </w:pPr>
      <w:r>
        <w:rPr>
          <w:rFonts w:hint="eastAsia" w:ascii="仿宋" w:hAnsi="仿宋"/>
          <w:b/>
          <w:color w:val="000000"/>
          <w:sz w:val="21"/>
          <w:highlight w:val="none"/>
        </w:rPr>
        <w:t xml:space="preserve">                            </w:t>
      </w:r>
      <w:r>
        <w:rPr>
          <w:rFonts w:hint="eastAsia" w:ascii="仿宋" w:hAnsi="仿宋"/>
          <w:b/>
          <w:color w:val="000000"/>
          <w:szCs w:val="32"/>
          <w:highlight w:val="none"/>
        </w:rPr>
        <w:t>二〇</w:t>
      </w:r>
      <w:r>
        <w:rPr>
          <w:rFonts w:hint="eastAsia" w:ascii="仿宋" w:hAnsi="仿宋"/>
          <w:b/>
          <w:color w:val="000000"/>
          <w:szCs w:val="32"/>
          <w:highlight w:val="none"/>
          <w:lang w:val="en-US" w:eastAsia="zh-CN"/>
        </w:rPr>
        <w:t>二</w:t>
      </w:r>
      <w:r>
        <w:rPr>
          <w:rFonts w:hint="eastAsia" w:ascii="仿宋" w:hAnsi="仿宋"/>
          <w:b/>
          <w:color w:val="000000"/>
          <w:szCs w:val="32"/>
          <w:highlight w:val="none"/>
        </w:rPr>
        <w:t xml:space="preserve">    年  月  日</w:t>
      </w:r>
    </w:p>
    <w:p w14:paraId="029B1127">
      <w:pPr>
        <w:pStyle w:val="21"/>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b w:val="0"/>
          <w:bCs w:val="0"/>
          <w:kern w:val="44"/>
          <w:sz w:val="44"/>
          <w:szCs w:val="44"/>
          <w:highlight w:val="none"/>
          <w:lang w:val="zh-CN"/>
        </w:rPr>
      </w:pPr>
      <w:bookmarkStart w:id="0" w:name="_Toc296503025"/>
      <w:bookmarkStart w:id="1" w:name="_Toc296890982"/>
      <w:r>
        <w:rPr>
          <w:rFonts w:hint="eastAsia" w:ascii="仿宋" w:hAnsi="仿宋"/>
          <w:b w:val="0"/>
          <w:bCs w:val="0"/>
          <w:kern w:val="44"/>
          <w:sz w:val="44"/>
          <w:szCs w:val="44"/>
          <w:highlight w:val="none"/>
          <w:lang w:val="zh-CN"/>
        </w:rPr>
        <w:br w:type="page"/>
      </w:r>
      <w:bookmarkEnd w:id="0"/>
      <w:bookmarkEnd w:id="1"/>
    </w:p>
    <w:p w14:paraId="091B8231">
      <w:pPr>
        <w:pageBreakBefore w:val="0"/>
        <w:widowControl w:val="0"/>
        <w:kinsoku/>
        <w:wordWrap/>
        <w:overflowPunct/>
        <w:topLinePunct w:val="0"/>
        <w:bidi w:val="0"/>
        <w:snapToGrid/>
        <w:spacing w:line="360" w:lineRule="auto"/>
        <w:ind w:firstLine="562" w:firstLineChars="200"/>
        <w:jc w:val="center"/>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说 明</w:t>
      </w:r>
    </w:p>
    <w:p w14:paraId="5A5F28C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为了指导建设工程施工合同当事人的签约行为，维护合同当事人的合法权益，依据《中华人民共和国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》、《中华人民共和国建筑法》、《中华人民共和国招标投标法》以及相关法律法规，住房城乡建设部、国家工商行政管理总局对《建设工程施工合同（示范文本）》（GF-</w:t>
      </w:r>
      <w:r>
        <w:rPr>
          <w:rFonts w:hint="eastAsia" w:ascii="仿宋" w:hAnsi="仿宋" w:eastAsia="仿宋" w:cs="仿宋"/>
          <w:sz w:val="28"/>
          <w:szCs w:val="28"/>
          <w:lang w:val="en-US" w:eastAsia="zh-CN"/>
        </w:rPr>
        <w:t>2013</w:t>
      </w:r>
      <w:r>
        <w:rPr>
          <w:rFonts w:hint="eastAsia" w:ascii="仿宋" w:hAnsi="仿宋" w:eastAsia="仿宋" w:cs="仿宋"/>
          <w:sz w:val="28"/>
          <w:szCs w:val="28"/>
        </w:rPr>
        <w:t>-0201）进行了修订，制定了《建设工程施工合同（示范文本）》（GF-201</w:t>
      </w:r>
      <w:r>
        <w:rPr>
          <w:rFonts w:hint="eastAsia" w:ascii="仿宋" w:hAnsi="仿宋" w:eastAsia="仿宋" w:cs="仿宋"/>
          <w:sz w:val="28"/>
          <w:szCs w:val="28"/>
          <w:lang w:val="en-US" w:eastAsia="zh-CN"/>
        </w:rPr>
        <w:t>7</w:t>
      </w:r>
      <w:r>
        <w:rPr>
          <w:rFonts w:hint="eastAsia" w:ascii="仿宋" w:hAnsi="仿宋" w:eastAsia="仿宋" w:cs="仿宋"/>
          <w:sz w:val="28"/>
          <w:szCs w:val="28"/>
        </w:rPr>
        <w:t>-0201）（以下简称《示范文本》）。为了便于合同当事人使用《示范文本》，现就有关问题说明如下：</w:t>
      </w:r>
    </w:p>
    <w:p w14:paraId="6B6BEFF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sz w:val="28"/>
          <w:szCs w:val="28"/>
        </w:rPr>
      </w:pPr>
      <w:r>
        <w:rPr>
          <w:rFonts w:hint="eastAsia" w:ascii="仿宋" w:hAnsi="仿宋" w:eastAsia="仿宋" w:cs="仿宋"/>
          <w:bCs/>
          <w:sz w:val="28"/>
          <w:szCs w:val="28"/>
        </w:rPr>
        <w:t>一、《示范文本》的组成</w:t>
      </w:r>
    </w:p>
    <w:p w14:paraId="407707E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《示范文本》由合同协议书、通用合同条款和专用合同条款三部分组成。</w:t>
      </w:r>
    </w:p>
    <w:p w14:paraId="031EE11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（一）合同协议书</w:t>
      </w:r>
    </w:p>
    <w:p w14:paraId="36863D5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7C4BF5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（二）通用合同条款</w:t>
      </w:r>
    </w:p>
    <w:p w14:paraId="622793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通用合同条款是合同当事人根据《中华人民共和国建筑法》、《中华人民共和国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》等法律法规的规定，就工程建设的实施及相关事项，对合同当事人的权利义务作出的原则性约定。</w:t>
      </w:r>
    </w:p>
    <w:p w14:paraId="65A2D0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12F8C41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（三）专用合同条款</w:t>
      </w:r>
    </w:p>
    <w:p w14:paraId="6277B4F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86CABC3">
      <w:pPr>
        <w:pageBreakBefore w:val="0"/>
        <w:widowControl w:val="0"/>
        <w:kinsoku/>
        <w:wordWrap/>
        <w:overflowPunct/>
        <w:topLinePunct w:val="0"/>
        <w:bidi w:val="0"/>
        <w:snapToGrid/>
        <w:spacing w:line="360" w:lineRule="auto"/>
        <w:ind w:right="38" w:rightChars="12"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专用合同条款的编号应与相应的通用合同条款的编号一致；</w:t>
      </w:r>
    </w:p>
    <w:p w14:paraId="410797D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合同当事人可以通过对专用合同条款的修改，满足具体建设工程的特殊要求，避免直接修改通用合同条款；</w:t>
      </w:r>
    </w:p>
    <w:p w14:paraId="759504A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eastAsia="zh-CN"/>
        </w:rPr>
        <w:t>.</w:t>
      </w:r>
      <w:r>
        <w:rPr>
          <w:rFonts w:hint="eastAsia" w:ascii="仿宋" w:hAnsi="仿宋" w:eastAsia="仿宋" w:cs="仿宋"/>
          <w:sz w:val="28"/>
          <w:szCs w:val="28"/>
        </w:rPr>
        <w:t>在专用合同条款中有横道线的地方，合同当事人可针对相应的通用合同条款进行细化、完善、补充、修改或另行约定；如无细化、完善、补充、修改或另行约定，则填写“无”或划“/”。</w:t>
      </w:r>
    </w:p>
    <w:p w14:paraId="0351733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sz w:val="28"/>
          <w:szCs w:val="28"/>
        </w:rPr>
      </w:pPr>
      <w:r>
        <w:rPr>
          <w:rFonts w:hint="eastAsia" w:ascii="仿宋" w:hAnsi="仿宋" w:eastAsia="仿宋" w:cs="仿宋"/>
          <w:bCs/>
          <w:sz w:val="28"/>
          <w:szCs w:val="28"/>
        </w:rPr>
        <w:t>二、《示范文本》的性质和适用范围</w:t>
      </w:r>
    </w:p>
    <w:p w14:paraId="3DB6ADA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sectPr>
          <w:headerReference r:id="rId5" w:type="first"/>
          <w:footerReference r:id="rId7" w:type="first"/>
          <w:footerReference r:id="rId6" w:type="default"/>
          <w:pgSz w:w="11906" w:h="16838"/>
          <w:pgMar w:top="1418" w:right="1361" w:bottom="1418" w:left="1361" w:header="851" w:footer="850" w:gutter="0"/>
          <w:pgNumType w:fmt="decimal"/>
          <w:cols w:space="720" w:num="1"/>
          <w:titlePg/>
          <w:docGrid w:type="lines" w:linePitch="312" w:charSpace="0"/>
        </w:sectPr>
      </w:pPr>
      <w:r>
        <w:rPr>
          <w:rFonts w:hint="eastAsia" w:ascii="仿宋" w:hAnsi="仿宋" w:eastAsia="仿宋" w:cs="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294B34CD">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b w:val="0"/>
          <w:color w:val="000000"/>
          <w:sz w:val="28"/>
          <w:szCs w:val="28"/>
        </w:rPr>
      </w:pPr>
      <w:bookmarkStart w:id="2" w:name="_Toc351203480"/>
      <w:r>
        <w:rPr>
          <w:rFonts w:hint="eastAsia" w:ascii="仿宋" w:hAnsi="仿宋" w:eastAsia="仿宋" w:cs="仿宋"/>
          <w:sz w:val="28"/>
          <w:szCs w:val="28"/>
        </w:rPr>
        <w:t>第一部分 合同协议书</w:t>
      </w:r>
      <w:bookmarkEnd w:id="2"/>
    </w:p>
    <w:p w14:paraId="7CC704F3">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4CDD4340">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u w:val="single"/>
        </w:rPr>
      </w:pPr>
      <w:r>
        <w:rPr>
          <w:rFonts w:hint="eastAsia" w:ascii="仿宋" w:hAnsi="仿宋" w:eastAsia="仿宋" w:cs="仿宋"/>
          <w:b/>
          <w:color w:val="000000"/>
          <w:sz w:val="28"/>
          <w:szCs w:val="28"/>
        </w:rPr>
        <w:t>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3FEBA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根据《中华人民共和国</w:t>
      </w:r>
      <w:r>
        <w:rPr>
          <w:rFonts w:hint="eastAsia" w:ascii="仿宋" w:hAnsi="仿宋" w:eastAsia="仿宋" w:cs="仿宋"/>
          <w:color w:val="000000"/>
          <w:sz w:val="28"/>
          <w:szCs w:val="28"/>
          <w:lang w:eastAsia="zh-CN"/>
        </w:rPr>
        <w:t>民法典</w:t>
      </w:r>
      <w:r>
        <w:rPr>
          <w:rFonts w:hint="eastAsia" w:ascii="仿宋" w:hAnsi="仿宋" w:eastAsia="仿宋" w:cs="仿宋"/>
          <w:color w:val="000000"/>
          <w:sz w:val="28"/>
          <w:szCs w:val="28"/>
        </w:rPr>
        <w:t>》、《中华人民共和国建筑法》及有关法律规定，遵循平等、自愿、公平和诚实信用的原则，双方就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工程施工及有关事项协商一致，共同达成如下协议：</w:t>
      </w:r>
    </w:p>
    <w:p w14:paraId="50215942">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3" w:name="_Toc351203481"/>
      <w:r>
        <w:rPr>
          <w:rFonts w:hint="eastAsia" w:ascii="仿宋" w:hAnsi="仿宋" w:eastAsia="仿宋" w:cs="仿宋"/>
          <w:b w:val="0"/>
          <w:color w:val="000000"/>
          <w:sz w:val="28"/>
          <w:szCs w:val="28"/>
        </w:rPr>
        <w:t>一、工程概况</w:t>
      </w:r>
      <w:bookmarkEnd w:id="3"/>
    </w:p>
    <w:p w14:paraId="7609B5A8">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u w:val="single"/>
        </w:rPr>
      </w:pPr>
      <w:r>
        <w:rPr>
          <w:rFonts w:hint="eastAsia" w:ascii="仿宋" w:hAnsi="仿宋" w:eastAsia="仿宋" w:cs="仿宋"/>
          <w:bCs/>
          <w:color w:val="000000"/>
          <w:sz w:val="28"/>
          <w:szCs w:val="28"/>
        </w:rPr>
        <w:t>1.工程名称</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965A5C4">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2.工程地点：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6C370B">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3.工程立项批准文号：</w:t>
      </w:r>
      <w:r>
        <w:rPr>
          <w:rFonts w:hint="eastAsia" w:ascii="仿宋" w:hAnsi="仿宋" w:eastAsia="仿宋" w:cs="仿宋"/>
          <w:color w:val="000000"/>
          <w:sz w:val="28"/>
          <w:szCs w:val="28"/>
          <w:u w:val="single"/>
        </w:rPr>
        <w:t xml:space="preserve">                       </w:t>
      </w:r>
      <w:r>
        <w:rPr>
          <w:rFonts w:hint="eastAsia" w:ascii="仿宋" w:hAnsi="仿宋" w:eastAsia="仿宋" w:cs="仿宋"/>
          <w:bCs/>
          <w:color w:val="000000"/>
          <w:sz w:val="28"/>
          <w:szCs w:val="28"/>
        </w:rPr>
        <w:t>。</w:t>
      </w:r>
    </w:p>
    <w:p w14:paraId="2561EB89">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4.资金来源：</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20975761">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5.工程内容：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bCs/>
          <w:color w:val="000000"/>
          <w:sz w:val="28"/>
          <w:szCs w:val="28"/>
        </w:rPr>
        <w:t>。</w:t>
      </w:r>
    </w:p>
    <w:p w14:paraId="2F70366D">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bCs/>
          <w:color w:val="000000"/>
          <w:sz w:val="28"/>
          <w:szCs w:val="28"/>
        </w:rPr>
      </w:pPr>
      <w:r>
        <w:rPr>
          <w:rFonts w:hint="eastAsia" w:ascii="仿宋" w:hAnsi="仿宋" w:eastAsia="仿宋" w:cs="仿宋"/>
          <w:color w:val="000000"/>
          <w:sz w:val="28"/>
          <w:szCs w:val="28"/>
        </w:rPr>
        <w:t>群体工程应附《承包人承揽工程项目一览表》（附件1）。</w:t>
      </w:r>
    </w:p>
    <w:p w14:paraId="37F306D9">
      <w:pPr>
        <w:pageBreakBefore w:val="0"/>
        <w:widowControl w:val="0"/>
        <w:kinsoku/>
        <w:wordWrap/>
        <w:overflowPunct/>
        <w:topLinePunct w:val="0"/>
        <w:bidi w:val="0"/>
        <w:snapToGrid/>
        <w:spacing w:line="360" w:lineRule="auto"/>
        <w:ind w:firstLine="548" w:firstLineChars="196"/>
        <w:outlineLvl w:val="9"/>
        <w:rPr>
          <w:rFonts w:hint="eastAsia" w:ascii="仿宋" w:hAnsi="仿宋" w:eastAsia="仿宋" w:cs="仿宋"/>
          <w:color w:val="000000"/>
          <w:sz w:val="28"/>
          <w:szCs w:val="28"/>
        </w:rPr>
      </w:pPr>
      <w:r>
        <w:rPr>
          <w:rFonts w:hint="eastAsia" w:ascii="仿宋" w:hAnsi="仿宋" w:eastAsia="仿宋" w:cs="仿宋"/>
          <w:bCs/>
          <w:color w:val="000000"/>
          <w:sz w:val="28"/>
          <w:szCs w:val="28"/>
        </w:rPr>
        <w:t>6.工程承包范围：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72F772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 w:val="0"/>
          <w:color w:val="000000"/>
          <w:sz w:val="28"/>
          <w:szCs w:val="28"/>
        </w:rPr>
        <w:t xml:space="preserve">   </w:t>
      </w:r>
      <w:bookmarkStart w:id="4" w:name="_Toc351203482"/>
      <w:r>
        <w:rPr>
          <w:rFonts w:hint="eastAsia" w:ascii="仿宋" w:hAnsi="仿宋" w:eastAsia="仿宋" w:cs="仿宋"/>
          <w:b w:val="0"/>
          <w:color w:val="000000"/>
          <w:sz w:val="28"/>
          <w:szCs w:val="28"/>
        </w:rPr>
        <w:t>二、合同工期</w:t>
      </w:r>
      <w:bookmarkEnd w:id="4"/>
    </w:p>
    <w:p w14:paraId="3F51CD03">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计划开工日期：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49544D1">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计划竣工日期：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75BE8315">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工期总日历天数：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天。工期总日历天数与根据前述计划开竣工日期计算的工期天数不一致的，以工期总日历天数为准。</w:t>
      </w:r>
    </w:p>
    <w:p w14:paraId="6E6408B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5" w:name="_Toc351203483"/>
      <w:r>
        <w:rPr>
          <w:rFonts w:hint="eastAsia" w:ascii="仿宋" w:hAnsi="仿宋" w:eastAsia="仿宋" w:cs="仿宋"/>
          <w:b w:val="0"/>
          <w:color w:val="000000"/>
          <w:sz w:val="28"/>
          <w:szCs w:val="28"/>
        </w:rPr>
        <w:t>三、质量标准</w:t>
      </w:r>
      <w:bookmarkEnd w:id="5"/>
    </w:p>
    <w:p w14:paraId="68846583">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工程质量符合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标准。</w:t>
      </w:r>
    </w:p>
    <w:p w14:paraId="7966CF86">
      <w:pPr>
        <w:pageBreakBefore w:val="0"/>
        <w:widowControl w:val="0"/>
        <w:kinsoku/>
        <w:wordWrap/>
        <w:overflowPunct/>
        <w:topLinePunct w:val="0"/>
        <w:bidi w:val="0"/>
        <w:snapToGrid/>
        <w:spacing w:line="360" w:lineRule="auto"/>
        <w:ind w:firstLine="459"/>
        <w:outlineLvl w:val="9"/>
        <w:rPr>
          <w:rFonts w:hint="eastAsia" w:ascii="仿宋" w:hAnsi="仿宋" w:eastAsia="仿宋" w:cs="仿宋"/>
          <w:color w:val="000000"/>
          <w:sz w:val="28"/>
          <w:szCs w:val="28"/>
        </w:rPr>
      </w:pPr>
      <w:r>
        <w:rPr>
          <w:rFonts w:hint="eastAsia" w:ascii="仿宋" w:hAnsi="仿宋" w:eastAsia="仿宋" w:cs="仿宋"/>
          <w:b w:val="0"/>
          <w:color w:val="000000"/>
          <w:sz w:val="28"/>
          <w:szCs w:val="28"/>
        </w:rPr>
        <w:t>四、签约合同价与合同价格形式</w:t>
      </w:r>
    </w:p>
    <w:p w14:paraId="29B5F58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1.签约合同价为：</w:t>
      </w:r>
    </w:p>
    <w:p w14:paraId="120E1739">
      <w:pPr>
        <w:pageBreakBefore w:val="0"/>
        <w:widowControl w:val="0"/>
        <w:kinsoku/>
        <w:wordWrap/>
        <w:overflowPunct/>
        <w:topLinePunct w:val="0"/>
        <w:bidi w:val="0"/>
        <w:snapToGrid/>
        <w:spacing w:line="360" w:lineRule="auto"/>
        <w:ind w:firstLine="700" w:firstLineChars="2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284245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其中：</w:t>
      </w:r>
    </w:p>
    <w:p w14:paraId="2C75628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（1）安全文明施工费：</w:t>
      </w:r>
    </w:p>
    <w:p w14:paraId="10979006">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D1CEEE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（2）材料和工程设备暂估价金额：</w:t>
      </w:r>
    </w:p>
    <w:p w14:paraId="414ADAEB">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5236644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（3）专业工程暂估价金额：</w:t>
      </w:r>
    </w:p>
    <w:p w14:paraId="72843DBB">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4E0CF99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（4）暂列金额：</w:t>
      </w:r>
    </w:p>
    <w:p w14:paraId="6F2021EC">
      <w:pPr>
        <w:pageBreakBefore w:val="0"/>
        <w:widowControl w:val="0"/>
        <w:kinsoku/>
        <w:wordWrap/>
        <w:overflowPunct/>
        <w:topLinePunct w:val="0"/>
        <w:bidi w:val="0"/>
        <w:snapToGrid/>
        <w:spacing w:line="360" w:lineRule="auto"/>
        <w:ind w:firstLine="1260" w:firstLineChars="4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p>
    <w:p w14:paraId="5BE6AB4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2.合同价格形式：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635582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6" w:name="_Toc351203485"/>
      <w:r>
        <w:rPr>
          <w:rFonts w:hint="eastAsia" w:ascii="仿宋" w:hAnsi="仿宋" w:eastAsia="仿宋" w:cs="仿宋"/>
          <w:b w:val="0"/>
          <w:color w:val="000000"/>
          <w:sz w:val="28"/>
          <w:szCs w:val="28"/>
        </w:rPr>
        <w:t>五、</w:t>
      </w:r>
      <w:bookmarkEnd w:id="6"/>
      <w:r>
        <w:rPr>
          <w:rFonts w:hint="eastAsia" w:ascii="仿宋" w:hAnsi="仿宋" w:eastAsia="仿宋" w:cs="仿宋"/>
          <w:b w:val="0"/>
          <w:color w:val="000000"/>
          <w:sz w:val="28"/>
          <w:szCs w:val="28"/>
        </w:rPr>
        <w:t>项目经理</w:t>
      </w:r>
    </w:p>
    <w:p w14:paraId="355862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承包人项目经理：</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D0D032F">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7" w:name="_Toc351203486"/>
      <w:r>
        <w:rPr>
          <w:rFonts w:hint="eastAsia" w:ascii="仿宋" w:hAnsi="仿宋" w:eastAsia="仿宋" w:cs="仿宋"/>
          <w:b w:val="0"/>
          <w:color w:val="000000"/>
          <w:sz w:val="28"/>
          <w:szCs w:val="28"/>
        </w:rPr>
        <w:t>六、合同文件构成</w:t>
      </w:r>
      <w:bookmarkEnd w:id="7"/>
    </w:p>
    <w:p w14:paraId="720DA5B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本协议书与下列文件一起构成合同文件：</w:t>
      </w:r>
    </w:p>
    <w:p w14:paraId="783F0D62">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（1）中标通知书（如果有）；</w:t>
      </w:r>
    </w:p>
    <w:p w14:paraId="4DDAB59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（2）投标函及其附录（如果有）； </w:t>
      </w:r>
    </w:p>
    <w:p w14:paraId="26818D3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（3）专用合同条款及其附件；</w:t>
      </w:r>
    </w:p>
    <w:p w14:paraId="2146F2C6">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（4）通用合同条款；</w:t>
      </w:r>
    </w:p>
    <w:p w14:paraId="120AFFC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（5）技术标准和要求；</w:t>
      </w:r>
    </w:p>
    <w:p w14:paraId="53774098">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（6）图纸；</w:t>
      </w:r>
    </w:p>
    <w:p w14:paraId="78B566E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（7）已标价工程量清单或预算书；</w:t>
      </w:r>
    </w:p>
    <w:p w14:paraId="6DBD13E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（8）其他合同文件。</w:t>
      </w:r>
    </w:p>
    <w:p w14:paraId="2EE59C0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在合同订立及履行过程中形成的与合同有关的文件均构成合同文件组成部分。</w:t>
      </w:r>
    </w:p>
    <w:p w14:paraId="1793625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上述各项合同文件包括合同当事人就该项合同文件所作出的补充和修改，属于同一类内容的文件，应以最新签署的为准。专用合同条款及其附件须经合同当事人签字或盖章。</w:t>
      </w:r>
    </w:p>
    <w:p w14:paraId="196A507E">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 xml:space="preserve">   </w:t>
      </w:r>
      <w:r>
        <w:rPr>
          <w:rFonts w:hint="eastAsia" w:ascii="仿宋" w:hAnsi="仿宋" w:eastAsia="仿宋" w:cs="仿宋"/>
          <w:b w:val="0"/>
          <w:color w:val="000000"/>
          <w:sz w:val="28"/>
          <w:szCs w:val="28"/>
        </w:rPr>
        <w:t xml:space="preserve"> </w:t>
      </w:r>
      <w:bookmarkStart w:id="8" w:name="_Toc351203487"/>
      <w:r>
        <w:rPr>
          <w:rFonts w:hint="eastAsia" w:ascii="仿宋" w:hAnsi="仿宋" w:eastAsia="仿宋" w:cs="仿宋"/>
          <w:b w:val="0"/>
          <w:color w:val="000000"/>
          <w:sz w:val="28"/>
          <w:szCs w:val="28"/>
        </w:rPr>
        <w:t>七、承诺</w:t>
      </w:r>
      <w:bookmarkEnd w:id="8"/>
    </w:p>
    <w:p w14:paraId="2B500C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1.发包人承诺按照法律规定履行项目审批手续、筹集工程建设资金并按照合同约定的期限和方式支付合同价款。</w:t>
      </w:r>
    </w:p>
    <w:p w14:paraId="7203A83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2280DFF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3.发包人和承包人通过招投标形式签订合同的，双方理解并承诺不再就同一工程另行签订与合同实质性内容相背离的协议。</w:t>
      </w:r>
    </w:p>
    <w:p w14:paraId="7B8A6851">
      <w:pPr>
        <w:pageBreakBefore w:val="0"/>
        <w:widowControl w:val="0"/>
        <w:kinsoku/>
        <w:wordWrap/>
        <w:overflowPunct/>
        <w:topLinePunct w:val="0"/>
        <w:bidi w:val="0"/>
        <w:snapToGrid/>
        <w:spacing w:line="360" w:lineRule="auto"/>
        <w:outlineLvl w:val="9"/>
        <w:rPr>
          <w:rFonts w:hint="eastAsia" w:ascii="仿宋" w:hAnsi="仿宋" w:eastAsia="仿宋" w:cs="仿宋"/>
          <w:bCs/>
          <w:color w:val="000000"/>
          <w:sz w:val="28"/>
          <w:szCs w:val="28"/>
        </w:rPr>
      </w:pPr>
      <w:bookmarkStart w:id="9" w:name="_Toc351203488"/>
      <w:r>
        <w:rPr>
          <w:rFonts w:hint="eastAsia" w:ascii="仿宋" w:hAnsi="仿宋" w:eastAsia="仿宋" w:cs="仿宋"/>
          <w:b/>
          <w:color w:val="000000"/>
          <w:sz w:val="28"/>
          <w:szCs w:val="28"/>
        </w:rPr>
        <w:t xml:space="preserve">    八、词语含义</w:t>
      </w:r>
      <w:bookmarkEnd w:id="9"/>
    </w:p>
    <w:p w14:paraId="7A8FCB2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本协议书中词语含义与第二部分通用合同条款中赋予的含义相同。</w:t>
      </w:r>
    </w:p>
    <w:p w14:paraId="46A23B91">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 xml:space="preserve">  </w:t>
      </w:r>
      <w:bookmarkStart w:id="10" w:name="_Toc351203489"/>
      <w:r>
        <w:rPr>
          <w:rFonts w:hint="eastAsia" w:ascii="仿宋" w:hAnsi="仿宋" w:eastAsia="仿宋" w:cs="仿宋"/>
          <w:b w:val="0"/>
          <w:color w:val="000000"/>
          <w:sz w:val="28"/>
          <w:szCs w:val="28"/>
        </w:rPr>
        <w:t>九、签订时间</w:t>
      </w:r>
      <w:bookmarkEnd w:id="10"/>
    </w:p>
    <w:p w14:paraId="2B5E8B0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本合同于</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日签订。</w:t>
      </w:r>
    </w:p>
    <w:p w14:paraId="470ECD30">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1" w:name="_Toc351203490"/>
      <w:r>
        <w:rPr>
          <w:rFonts w:hint="eastAsia" w:ascii="仿宋" w:hAnsi="仿宋" w:eastAsia="仿宋" w:cs="仿宋"/>
          <w:b w:val="0"/>
          <w:color w:val="000000"/>
          <w:sz w:val="28"/>
          <w:szCs w:val="28"/>
        </w:rPr>
        <w:t>十、签订地点</w:t>
      </w:r>
      <w:bookmarkEnd w:id="11"/>
    </w:p>
    <w:p w14:paraId="2E8F849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本合同在</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签订。</w:t>
      </w:r>
    </w:p>
    <w:p w14:paraId="00B1C00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val="0"/>
          <w:color w:val="000000"/>
          <w:sz w:val="28"/>
          <w:szCs w:val="28"/>
        </w:rPr>
        <w:t xml:space="preserve"> </w:t>
      </w:r>
      <w:r>
        <w:rPr>
          <w:rFonts w:hint="eastAsia" w:ascii="仿宋" w:hAnsi="仿宋" w:eastAsia="仿宋" w:cs="仿宋"/>
          <w:b w:val="0"/>
          <w:color w:val="000000"/>
          <w:sz w:val="28"/>
          <w:szCs w:val="28"/>
        </w:rPr>
        <w:t>十一、补充协议</w:t>
      </w:r>
    </w:p>
    <w:p w14:paraId="2F9562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
          <w:bCs/>
          <w:color w:val="000000"/>
          <w:sz w:val="28"/>
          <w:szCs w:val="28"/>
        </w:rPr>
      </w:pPr>
      <w:r>
        <w:rPr>
          <w:rFonts w:hint="eastAsia" w:ascii="仿宋" w:hAnsi="仿宋" w:eastAsia="仿宋" w:cs="仿宋"/>
          <w:bCs/>
          <w:color w:val="000000"/>
          <w:sz w:val="28"/>
          <w:szCs w:val="28"/>
        </w:rPr>
        <w:t>合同未尽事宜，合同当事人另行签订补充协议，补充协议是合同的组成部分。</w:t>
      </w:r>
    </w:p>
    <w:p w14:paraId="5A6C17D4">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2" w:name="_Toc351203492"/>
      <w:r>
        <w:rPr>
          <w:rFonts w:hint="eastAsia" w:ascii="仿宋" w:hAnsi="仿宋" w:eastAsia="仿宋" w:cs="仿宋"/>
          <w:b w:val="0"/>
          <w:color w:val="000000"/>
          <w:sz w:val="28"/>
          <w:szCs w:val="28"/>
        </w:rPr>
        <w:t>十二、合同生效</w:t>
      </w:r>
      <w:bookmarkEnd w:id="12"/>
    </w:p>
    <w:p w14:paraId="0EE6EA4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本合同自</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生效。</w:t>
      </w:r>
    </w:p>
    <w:p w14:paraId="42782C1B">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Cs w:val="0"/>
          <w:color w:val="000000"/>
          <w:sz w:val="28"/>
          <w:szCs w:val="28"/>
        </w:rPr>
      </w:pPr>
      <w:r>
        <w:rPr>
          <w:rFonts w:hint="eastAsia" w:ascii="仿宋" w:hAnsi="仿宋" w:eastAsia="仿宋" w:cs="仿宋"/>
          <w:bCs w:val="0"/>
          <w:color w:val="000000"/>
          <w:sz w:val="28"/>
          <w:szCs w:val="28"/>
        </w:rPr>
        <w:t xml:space="preserve">    </w:t>
      </w:r>
      <w:bookmarkStart w:id="13" w:name="_Toc351203493"/>
      <w:r>
        <w:rPr>
          <w:rFonts w:hint="eastAsia" w:ascii="仿宋" w:hAnsi="仿宋" w:eastAsia="仿宋" w:cs="仿宋"/>
          <w:b w:val="0"/>
          <w:color w:val="000000"/>
          <w:sz w:val="28"/>
          <w:szCs w:val="28"/>
        </w:rPr>
        <w:t>十三、合同份数</w:t>
      </w:r>
      <w:bookmarkEnd w:id="13"/>
    </w:p>
    <w:p w14:paraId="6D66979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bCs/>
          <w:color w:val="000000"/>
          <w:sz w:val="28"/>
          <w:szCs w:val="28"/>
        </w:rPr>
      </w:pPr>
      <w:r>
        <w:rPr>
          <w:rFonts w:hint="eastAsia" w:ascii="仿宋" w:hAnsi="仿宋" w:eastAsia="仿宋" w:cs="仿宋"/>
          <w:bCs/>
          <w:color w:val="000000"/>
          <w:sz w:val="28"/>
          <w:szCs w:val="28"/>
        </w:rPr>
        <w:t>本合同一式</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份，均具有同等法律效力，发包人执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份，承包人执</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rPr>
        <w:t>份。</w:t>
      </w:r>
    </w:p>
    <w:p w14:paraId="483685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0DA083A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发包人：  (公章)             承包人：  (公章)                           </w:t>
      </w:r>
    </w:p>
    <w:p w14:paraId="6CFA9E9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  法定代表人或其委托代理人：</w:t>
      </w:r>
    </w:p>
    <w:p w14:paraId="1A46724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（签字）                    （签字）</w:t>
      </w:r>
    </w:p>
    <w:p w14:paraId="4DBEC89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53E52F0C">
      <w:pPr>
        <w:pageBreakBefore w:val="0"/>
        <w:widowControl w:val="0"/>
        <w:tabs>
          <w:tab w:val="left" w:pos="4410"/>
        </w:tabs>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组织机构代码：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组织机构代码：</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p>
    <w:p w14:paraId="30E79A9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地  址：</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46D7F82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邮政编码：</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p>
    <w:p w14:paraId="087AE3B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法定代表人：</w:t>
      </w:r>
      <w:r>
        <w:rPr>
          <w:rFonts w:hint="eastAsia" w:ascii="仿宋" w:hAnsi="仿宋" w:eastAsia="仿宋" w:cs="仿宋"/>
          <w:color w:val="000000"/>
          <w:sz w:val="28"/>
          <w:szCs w:val="28"/>
          <w:u w:val="single"/>
        </w:rPr>
        <w:t xml:space="preserve">             </w:t>
      </w:r>
    </w:p>
    <w:p w14:paraId="5BAFD72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CB714A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  话：</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w:t>
      </w:r>
    </w:p>
    <w:p w14:paraId="47CCE46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4B43908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BFEFAF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       </w:t>
      </w:r>
    </w:p>
    <w:p w14:paraId="5E5FAE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w:t>
      </w: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rPr>
        <w:t xml:space="preserve">             </w:t>
      </w:r>
    </w:p>
    <w:p w14:paraId="2C62149F">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br w:type="page"/>
      </w:r>
      <w:bookmarkStart w:id="14" w:name="_Toc351203494"/>
      <w:r>
        <w:rPr>
          <w:rFonts w:hint="eastAsia" w:ascii="仿宋" w:hAnsi="仿宋" w:eastAsia="仿宋" w:cs="仿宋"/>
          <w:sz w:val="28"/>
          <w:szCs w:val="28"/>
        </w:rPr>
        <w:t>第二部分 通用合同条款</w:t>
      </w:r>
      <w:bookmarkEnd w:id="14"/>
      <w:bookmarkStart w:id="15" w:name="_Toc337558727"/>
      <w:r>
        <w:rPr>
          <w:rFonts w:hint="eastAsia" w:ascii="仿宋" w:hAnsi="仿宋" w:eastAsia="仿宋" w:cs="仿宋"/>
          <w:b/>
          <w:bCs/>
          <w:sz w:val="28"/>
          <w:szCs w:val="28"/>
        </w:rPr>
        <w:t>（略）</w:t>
      </w:r>
    </w:p>
    <w:bookmarkEnd w:id="15"/>
    <w:p w14:paraId="5B2AF657">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lang w:eastAsia="zh-CN"/>
        </w:rPr>
      </w:pPr>
      <w:bookmarkStart w:id="16" w:name="_Toc351203632"/>
    </w:p>
    <w:p w14:paraId="22F4EA87">
      <w:pPr>
        <w:pageBreakBefore w:val="0"/>
        <w:widowControl w:val="0"/>
        <w:kinsoku/>
        <w:wordWrap/>
        <w:overflowPunct/>
        <w:topLinePunct w:val="0"/>
        <w:bidi w:val="0"/>
        <w:snapToGrid/>
        <w:spacing w:before="0" w:beforeLines="0" w:after="0" w:afterLines="0" w:line="360" w:lineRule="auto"/>
        <w:jc w:val="center"/>
        <w:outlineLvl w:val="9"/>
        <w:rPr>
          <w:rFonts w:hint="eastAsia" w:ascii="仿宋" w:hAnsi="仿宋" w:eastAsia="仿宋" w:cs="仿宋"/>
          <w:sz w:val="28"/>
          <w:szCs w:val="28"/>
        </w:rPr>
      </w:pPr>
      <w:r>
        <w:rPr>
          <w:rFonts w:hint="eastAsia" w:ascii="仿宋" w:hAnsi="仿宋" w:eastAsia="仿宋" w:cs="仿宋"/>
          <w:sz w:val="28"/>
          <w:szCs w:val="28"/>
        </w:rPr>
        <w:t>第三部分 专用合同条款</w:t>
      </w:r>
      <w:bookmarkEnd w:id="16"/>
    </w:p>
    <w:p w14:paraId="58D3B67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7" w:name="_Toc351203633"/>
      <w:r>
        <w:rPr>
          <w:rFonts w:hint="eastAsia" w:ascii="仿宋" w:hAnsi="仿宋" w:eastAsia="仿宋" w:cs="仿宋"/>
          <w:b w:val="0"/>
          <w:color w:val="000000"/>
          <w:sz w:val="28"/>
          <w:szCs w:val="28"/>
        </w:rPr>
        <w:t>1</w:t>
      </w:r>
      <w:bookmarkStart w:id="18" w:name="_Toc296503156"/>
      <w:bookmarkStart w:id="19" w:name="_Toc296891196"/>
      <w:bookmarkStart w:id="20" w:name="_Toc296347155"/>
      <w:bookmarkStart w:id="21" w:name="_Toc292559361"/>
      <w:bookmarkStart w:id="22" w:name="_Toc292559866"/>
      <w:bookmarkStart w:id="23" w:name="_Toc297048342"/>
      <w:bookmarkStart w:id="24" w:name="_Toc297120456"/>
      <w:bookmarkStart w:id="25" w:name="_Toc296890984"/>
      <w:bookmarkStart w:id="26" w:name="_Toc296346657"/>
      <w:bookmarkStart w:id="27" w:name="_Toc296944495"/>
      <w:r>
        <w:rPr>
          <w:rFonts w:hint="eastAsia" w:ascii="仿宋" w:hAnsi="仿宋" w:eastAsia="仿宋" w:cs="仿宋"/>
          <w:b w:val="0"/>
          <w:color w:val="000000"/>
          <w:sz w:val="28"/>
          <w:szCs w:val="28"/>
        </w:rPr>
        <w:t>. 一般约定</w:t>
      </w:r>
      <w:bookmarkEnd w:id="17"/>
    </w:p>
    <w:bookmarkEnd w:id="18"/>
    <w:bookmarkEnd w:id="19"/>
    <w:bookmarkEnd w:id="20"/>
    <w:bookmarkEnd w:id="21"/>
    <w:bookmarkEnd w:id="22"/>
    <w:bookmarkEnd w:id="23"/>
    <w:bookmarkEnd w:id="24"/>
    <w:bookmarkEnd w:id="25"/>
    <w:bookmarkEnd w:id="26"/>
    <w:bookmarkEnd w:id="27"/>
    <w:p w14:paraId="170BD73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 词语定义</w:t>
      </w:r>
    </w:p>
    <w:p w14:paraId="21BC8F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1.1.1合同</w:t>
      </w:r>
    </w:p>
    <w:p w14:paraId="01B68F79">
      <w:pPr>
        <w:pageBreakBefore w:val="0"/>
        <w:widowControl w:val="0"/>
        <w:kinsoku/>
        <w:wordWrap/>
        <w:overflowPunct/>
        <w:topLinePunct w:val="0"/>
        <w:bidi w:val="0"/>
        <w:snapToGrid/>
        <w:spacing w:line="360" w:lineRule="auto"/>
        <w:ind w:left="1831" w:leftChars="266" w:hanging="980" w:hangingChars="35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1.1.1.1其他合同文件包括：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67D2CF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 合同当事人及其他相关方</w:t>
      </w:r>
    </w:p>
    <w:p w14:paraId="14060D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监理人：</w:t>
      </w:r>
    </w:p>
    <w:p w14:paraId="416EA41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FE3182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93A09F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68DC5E5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321B67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35034B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设计人：</w:t>
      </w:r>
    </w:p>
    <w:p w14:paraId="2B3AFAD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名    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00AD5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资质类别和等级：</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72CAAC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2B107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9A3D9E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19B4A1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 工程和设备</w:t>
      </w:r>
    </w:p>
    <w:p w14:paraId="29BBC48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1.1.3.</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作为施工现场组成部分的其他场所包括：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306CF91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 xml:space="preserve"> 永久占地包括：</w:t>
      </w:r>
      <w:r>
        <w:rPr>
          <w:rFonts w:hint="eastAsia" w:ascii="仿宋" w:hAnsi="仿宋" w:eastAsia="仿宋" w:cs="仿宋"/>
          <w:color w:val="000000"/>
          <w:sz w:val="28"/>
          <w:szCs w:val="28"/>
          <w:u w:val="single"/>
        </w:rPr>
        <w:t xml:space="preserve">                    </w:t>
      </w:r>
      <w:r>
        <w:rPr>
          <w:rFonts w:hint="eastAsia" w:ascii="仿宋" w:hAnsi="仿宋" w:eastAsia="仿宋" w:cs="仿宋"/>
          <w:color w:val="000000"/>
          <w:kern w:val="0"/>
          <w:sz w:val="28"/>
          <w:szCs w:val="28"/>
        </w:rPr>
        <w:t>。</w:t>
      </w:r>
    </w:p>
    <w:p w14:paraId="109B90A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1.1.3.</w:t>
      </w:r>
      <w:r>
        <w:rPr>
          <w:rFonts w:hint="eastAsia" w:ascii="仿宋" w:hAnsi="仿宋" w:eastAsia="仿宋" w:cs="仿宋"/>
          <w:color w:val="000000"/>
          <w:kern w:val="0"/>
          <w:sz w:val="28"/>
          <w:szCs w:val="28"/>
          <w:lang w:val="en-US" w:eastAsia="zh-CN"/>
        </w:rPr>
        <w:t>3</w:t>
      </w:r>
      <w:r>
        <w:rPr>
          <w:rFonts w:hint="eastAsia" w:ascii="仿宋" w:hAnsi="仿宋" w:eastAsia="仿宋" w:cs="仿宋"/>
          <w:color w:val="000000"/>
          <w:kern w:val="0"/>
          <w:sz w:val="28"/>
          <w:szCs w:val="28"/>
        </w:rPr>
        <w:t xml:space="preserve"> 临时占地包括：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6276F2F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1.3法律 </w:t>
      </w:r>
    </w:p>
    <w:p w14:paraId="76B81768">
      <w:pPr>
        <w:pageBreakBefore w:val="0"/>
        <w:widowControl w:val="0"/>
        <w:kinsoku/>
        <w:wordWrap/>
        <w:overflowPunct/>
        <w:topLinePunct w:val="0"/>
        <w:autoSpaceDE w:val="0"/>
        <w:autoSpaceDN w:val="0"/>
        <w:bidi w:val="0"/>
        <w:adjustRightInd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适用于合同的其他规范性文件：</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A0F9A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 标准和规范</w:t>
      </w:r>
    </w:p>
    <w:p w14:paraId="6E121C6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1.4.1适用于工程的标准规范包括：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C5A7E8E">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1.4.2 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A0536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发包人提供国外标准、规范的份数：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37E93E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发包人提供国外标准、规范的名称：</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5A3F19C">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1.4.3发包人对工程的技术标准和功能要求的特殊要求：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B67404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 合同文件的优先顺序</w:t>
      </w:r>
    </w:p>
    <w:p w14:paraId="2BC50B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合同文件组成及优先顺序为：</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241DFA8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 图纸和承包人文件</w:t>
      </w:r>
      <w:r>
        <w:rPr>
          <w:rFonts w:hint="eastAsia" w:ascii="仿宋" w:hAnsi="仿宋" w:eastAsia="仿宋" w:cs="仿宋"/>
          <w:color w:val="000000"/>
          <w:sz w:val="28"/>
          <w:szCs w:val="28"/>
        </w:rPr>
        <w:tab/>
      </w:r>
    </w:p>
    <w:p w14:paraId="201C2E0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图纸的提供</w:t>
      </w:r>
    </w:p>
    <w:p w14:paraId="215F536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46A5E65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发包人向承包人提供图纸的数量：</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586870F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发包人向承包人提供图纸的内容：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0FC4C2C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承包人文件</w:t>
      </w:r>
    </w:p>
    <w:p w14:paraId="69ED16E2">
      <w:pPr>
        <w:pageBreakBefore w:val="0"/>
        <w:widowControl w:val="0"/>
        <w:kinsoku/>
        <w:wordWrap/>
        <w:overflowPunct/>
        <w:topLinePunct w:val="0"/>
        <w:bidi w:val="0"/>
        <w:snapToGrid/>
        <w:spacing w:line="360" w:lineRule="auto"/>
        <w:ind w:left="909" w:leftChars="28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需要由承包人提供的文件，包括：</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22A36C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承包人提供的文件的期限为：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3D959E5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承包人提供的文件的数量为：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7B09A46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承包人提供的文件的形式为：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7DEDF82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发包人审批承包人文件的期限：</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7196CA7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现场图纸准备</w:t>
      </w:r>
    </w:p>
    <w:p w14:paraId="2808BD8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关于现场图纸准备的约定：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rPr>
        <w:t>。</w:t>
      </w:r>
    </w:p>
    <w:p w14:paraId="4740FCE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 联络</w:t>
      </w:r>
    </w:p>
    <w:p w14:paraId="6A50E3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1.7.1发包人和承包人应当在</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天内将与合同有关的通知、批准、证明、证书、指示、指令、要求、请求、同意、意见、确定和决定等书面函件送达对方当事人。</w:t>
      </w:r>
    </w:p>
    <w:p w14:paraId="5F405CC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1.7.2 发包人接收文件的地点：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572BCB9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434F625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2BF4B8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5183AE9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监理人接收文件的地点：</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620E92C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监理人指定的接收人为：</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kern w:val="0"/>
          <w:sz w:val="28"/>
          <w:szCs w:val="28"/>
        </w:rPr>
        <w:t>。</w:t>
      </w:r>
    </w:p>
    <w:p w14:paraId="74F3157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8</w:t>
      </w:r>
      <w:r>
        <w:rPr>
          <w:rFonts w:hint="eastAsia" w:ascii="仿宋" w:hAnsi="仿宋" w:eastAsia="仿宋" w:cs="仿宋"/>
          <w:color w:val="000000"/>
          <w:sz w:val="28"/>
          <w:szCs w:val="28"/>
        </w:rPr>
        <w:t xml:space="preserve"> 交通运输</w:t>
      </w:r>
    </w:p>
    <w:p w14:paraId="0DA210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bookmarkStart w:id="28" w:name="_Toc312677986"/>
      <w:bookmarkStart w:id="29" w:name="_Toc300934943"/>
      <w:bookmarkStart w:id="30" w:name="_Toc304295521"/>
      <w:bookmarkStart w:id="31" w:name="_Toc318581155"/>
      <w:bookmarkStart w:id="32" w:name="_Toc303539100"/>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.1 出入现场的权利</w:t>
      </w:r>
    </w:p>
    <w:p w14:paraId="4A9596DD">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关于出入现场的权利的约定：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bookmarkEnd w:id="28"/>
    <w:bookmarkEnd w:id="29"/>
    <w:bookmarkEnd w:id="30"/>
    <w:bookmarkEnd w:id="31"/>
    <w:bookmarkEnd w:id="32"/>
    <w:p w14:paraId="337F8C2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3" w:name="_Toc304295522"/>
      <w:bookmarkStart w:id="34" w:name="_Toc303539101"/>
      <w:bookmarkStart w:id="35" w:name="_Toc300934944"/>
      <w:bookmarkStart w:id="36" w:name="_Toc312677987"/>
      <w:bookmarkStart w:id="37" w:name="_Toc318581156"/>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 场内交通</w:t>
      </w:r>
    </w:p>
    <w:p w14:paraId="2BF3DD3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关于场外交通和场内交通的边界的约定：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p>
    <w:p w14:paraId="3CBECA9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关于发包人向承包人免费提供满足工程施工需要的场内道路和交通设施的约定：</w:t>
      </w:r>
      <w:r>
        <w:rPr>
          <w:rFonts w:hint="eastAsia" w:ascii="仿宋" w:hAnsi="仿宋" w:eastAsia="仿宋" w:cs="仿宋"/>
          <w:color w:val="000000"/>
          <w:sz w:val="28"/>
          <w:szCs w:val="28"/>
          <w:u w:val="single"/>
          <w:lang w:eastAsia="zh-CN"/>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lang w:eastAsia="zh-CN"/>
        </w:rPr>
        <w:t xml:space="preserve">     </w:t>
      </w:r>
      <w:r>
        <w:rPr>
          <w:rFonts w:hint="eastAsia" w:ascii="仿宋" w:hAnsi="仿宋" w:eastAsia="仿宋" w:cs="仿宋"/>
          <w:sz w:val="28"/>
          <w:szCs w:val="28"/>
        </w:rPr>
        <w:t>。</w:t>
      </w:r>
      <w:bookmarkEnd w:id="33"/>
      <w:bookmarkEnd w:id="34"/>
      <w:bookmarkEnd w:id="35"/>
      <w:bookmarkEnd w:id="36"/>
      <w:bookmarkEnd w:id="37"/>
      <w:r>
        <w:rPr>
          <w:rFonts w:hint="eastAsia" w:ascii="仿宋" w:hAnsi="仿宋" w:eastAsia="仿宋" w:cs="仿宋"/>
          <w:sz w:val="28"/>
          <w:szCs w:val="28"/>
        </w:rPr>
        <w:t xml:space="preserve">  </w:t>
      </w:r>
      <w:bookmarkStart w:id="38" w:name="_Toc318581157"/>
    </w:p>
    <w:p w14:paraId="4B33EA6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超大件和超重件的运输</w:t>
      </w:r>
    </w:p>
    <w:p w14:paraId="025678A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运输超大件或超重件所需的道路和桥梁临时加固改造费用和其他有关费用由</w:t>
      </w:r>
      <w:r>
        <w:rPr>
          <w:rFonts w:hint="eastAsia" w:ascii="仿宋" w:hAnsi="仿宋" w:eastAsia="仿宋" w:cs="仿宋"/>
          <w:sz w:val="28"/>
          <w:szCs w:val="28"/>
          <w:u w:val="single"/>
        </w:rPr>
        <w:t xml:space="preserve">              </w:t>
      </w:r>
      <w:r>
        <w:rPr>
          <w:rFonts w:hint="eastAsia" w:ascii="仿宋" w:hAnsi="仿宋" w:eastAsia="仿宋" w:cs="仿宋"/>
          <w:sz w:val="28"/>
          <w:szCs w:val="28"/>
        </w:rPr>
        <w:t>承担。</w:t>
      </w:r>
    </w:p>
    <w:bookmarkEnd w:id="38"/>
    <w:p w14:paraId="2824264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 xml:space="preserve"> 知识产权</w:t>
      </w:r>
    </w:p>
    <w:p w14:paraId="04D9B33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7CF68826">
      <w:pPr>
        <w:pageBreakBefore w:val="0"/>
        <w:widowControl w:val="0"/>
        <w:kinsoku/>
        <w:wordWrap/>
        <w:overflowPunct/>
        <w:topLinePunct w:val="0"/>
        <w:bidi w:val="0"/>
        <w:snapToGrid/>
        <w:spacing w:line="360" w:lineRule="auto"/>
        <w:ind w:left="909" w:leftChars="284"/>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关于发包人提供的上述文件的使用限制的要求：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93782F1">
      <w:pPr>
        <w:keepNext w:val="0"/>
        <w:keepLines w:val="0"/>
        <w:pageBreakBefore w:val="0"/>
        <w:widowControl w:val="0"/>
        <w:kinsoku/>
        <w:wordWrap w:val="0"/>
        <w:overflowPunct/>
        <w:topLinePunct/>
        <w:autoSpaceDE/>
        <w:autoSpaceDN/>
        <w:bidi w:val="0"/>
        <w:adjustRightInd/>
        <w:snapToGrid/>
        <w:spacing w:line="360" w:lineRule="auto"/>
        <w:ind w:left="909" w:leftChars="284"/>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w:t>
      </w:r>
      <w:r>
        <w:rPr>
          <w:rFonts w:hint="eastAsia" w:ascii="仿宋" w:hAnsi="仿宋" w:eastAsia="仿宋" w:cs="仿宋"/>
          <w:color w:val="000000"/>
          <w:sz w:val="28"/>
          <w:szCs w:val="28"/>
        </w:rPr>
        <w:t>.2 关于承包人为实施工程所编制文件的著作权的归属：</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919631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关于承包人提供的上述文件的使用限制的要求：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03DA572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1.</w:t>
      </w:r>
      <w:r>
        <w:rPr>
          <w:rFonts w:hint="eastAsia" w:ascii="仿宋" w:hAnsi="仿宋" w:eastAsia="仿宋" w:cs="仿宋"/>
          <w:color w:val="000000"/>
          <w:sz w:val="28"/>
          <w:szCs w:val="28"/>
          <w:lang w:val="en-US" w:eastAsia="zh-CN"/>
        </w:rPr>
        <w:t>9.3</w:t>
      </w:r>
      <w:r>
        <w:rPr>
          <w:rFonts w:hint="eastAsia" w:ascii="仿宋" w:hAnsi="仿宋" w:eastAsia="仿宋" w:cs="仿宋"/>
          <w:color w:val="000000"/>
          <w:sz w:val="28"/>
          <w:szCs w:val="28"/>
        </w:rPr>
        <w:t xml:space="preserve"> 承包人在施工过程中所采用的专利、专有技术、技术秘密的使用费的承担方式：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587A01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w:t>
      </w:r>
      <w:r>
        <w:rPr>
          <w:rFonts w:hint="eastAsia" w:ascii="仿宋" w:hAnsi="仿宋" w:eastAsia="仿宋" w:cs="仿宋"/>
          <w:color w:val="000000"/>
          <w:sz w:val="28"/>
          <w:szCs w:val="28"/>
          <w:lang w:val="en-US" w:eastAsia="zh-CN"/>
        </w:rPr>
        <w:t>0</w:t>
      </w:r>
      <w:r>
        <w:rPr>
          <w:rFonts w:hint="eastAsia" w:ascii="仿宋" w:hAnsi="仿宋" w:eastAsia="仿宋" w:cs="仿宋"/>
          <w:color w:val="000000"/>
          <w:sz w:val="28"/>
          <w:szCs w:val="28"/>
        </w:rPr>
        <w:t>工程量清单错误的修正</w:t>
      </w:r>
    </w:p>
    <w:p w14:paraId="39FC28F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出现工程量清单错误时，是否调整合同价格：</w:t>
      </w:r>
      <w:r>
        <w:rPr>
          <w:rFonts w:hint="eastAsia" w:ascii="仿宋" w:hAnsi="仿宋" w:eastAsia="仿宋" w:cs="仿宋"/>
          <w:color w:val="000000"/>
          <w:sz w:val="28"/>
          <w:szCs w:val="28"/>
          <w:u w:val="single"/>
        </w:rPr>
        <w:t xml:space="preserve">            </w:t>
      </w:r>
      <w:r>
        <w:rPr>
          <w:rFonts w:hint="eastAsia" w:ascii="仿宋" w:hAnsi="仿宋" w:eastAsia="仿宋" w:cs="仿宋"/>
          <w:color w:val="000000"/>
          <w:kern w:val="0"/>
          <w:sz w:val="28"/>
          <w:szCs w:val="28"/>
        </w:rPr>
        <w:t>。</w:t>
      </w:r>
    </w:p>
    <w:p w14:paraId="298B20A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允许调整合同价格的工程量偏差范围：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481E96F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9" w:name="_Toc351203634"/>
      <w:r>
        <w:rPr>
          <w:rFonts w:hint="eastAsia" w:ascii="仿宋" w:hAnsi="仿宋" w:eastAsia="仿宋" w:cs="仿宋"/>
          <w:b w:val="0"/>
          <w:color w:val="000000"/>
          <w:sz w:val="28"/>
          <w:szCs w:val="28"/>
        </w:rPr>
        <w:t>2</w:t>
      </w:r>
      <w:bookmarkStart w:id="40" w:name="_Toc296503157"/>
      <w:bookmarkStart w:id="41" w:name="_Toc296944496"/>
      <w:bookmarkStart w:id="42" w:name="_Toc296347156"/>
      <w:bookmarkStart w:id="43" w:name="_Toc297120457"/>
      <w:bookmarkStart w:id="44" w:name="_Toc297048343"/>
      <w:bookmarkStart w:id="45" w:name="_Toc292559867"/>
      <w:bookmarkStart w:id="46" w:name="_Toc296346658"/>
      <w:bookmarkStart w:id="47" w:name="_Toc296891197"/>
      <w:bookmarkStart w:id="48" w:name="_Toc292559362"/>
      <w:bookmarkStart w:id="49" w:name="_Toc296890985"/>
      <w:r>
        <w:rPr>
          <w:rFonts w:hint="eastAsia" w:ascii="仿宋" w:hAnsi="仿宋" w:eastAsia="仿宋" w:cs="仿宋"/>
          <w:b w:val="0"/>
          <w:color w:val="000000"/>
          <w:sz w:val="28"/>
          <w:szCs w:val="28"/>
        </w:rPr>
        <w:t>. 发包人</w:t>
      </w:r>
      <w:bookmarkEnd w:id="39"/>
    </w:p>
    <w:bookmarkEnd w:id="40"/>
    <w:bookmarkEnd w:id="41"/>
    <w:bookmarkEnd w:id="42"/>
    <w:bookmarkEnd w:id="43"/>
    <w:bookmarkEnd w:id="44"/>
    <w:bookmarkEnd w:id="45"/>
    <w:bookmarkEnd w:id="46"/>
    <w:bookmarkEnd w:id="47"/>
    <w:bookmarkEnd w:id="48"/>
    <w:bookmarkEnd w:id="49"/>
    <w:p w14:paraId="6CFA67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1</w:t>
      </w:r>
      <w:r>
        <w:rPr>
          <w:rFonts w:hint="eastAsia" w:ascii="仿宋" w:hAnsi="仿宋" w:eastAsia="仿宋" w:cs="仿宋"/>
          <w:color w:val="000000"/>
          <w:sz w:val="28"/>
          <w:szCs w:val="28"/>
        </w:rPr>
        <w:t xml:space="preserve"> 发包人代表</w:t>
      </w:r>
    </w:p>
    <w:p w14:paraId="7252F2E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发包人代表：</w:t>
      </w:r>
    </w:p>
    <w:p w14:paraId="0076029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D0036D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7D80A6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3642B8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034A71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773808C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4F8D026">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t>发包人对发包人代表的授权范围如下：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97E33A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 xml:space="preserve"> 施工现场、施工条件和基础资料的提供</w:t>
      </w:r>
    </w:p>
    <w:p w14:paraId="708DFBF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.1 提供施工现场</w:t>
      </w:r>
    </w:p>
    <w:p w14:paraId="6F66FA3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关于发包人移交施工现场的期限要求：</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33AE51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rPr>
        <w:t>.2 提供施工条件</w:t>
      </w:r>
    </w:p>
    <w:p w14:paraId="0C3AF98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关于发包人应负责提供施工所需要的条件，包括：</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C7F86A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color w:val="000000"/>
          <w:sz w:val="28"/>
          <w:szCs w:val="28"/>
          <w:lang w:val="en-US" w:eastAsia="zh-CN"/>
        </w:rPr>
        <w:t>3</w:t>
      </w:r>
      <w:r>
        <w:rPr>
          <w:rFonts w:hint="eastAsia" w:ascii="仿宋" w:hAnsi="仿宋" w:eastAsia="仿宋" w:cs="仿宋"/>
          <w:color w:val="000000"/>
          <w:sz w:val="28"/>
          <w:szCs w:val="28"/>
        </w:rPr>
        <w:t xml:space="preserve"> 资金来源证明及支付担保</w:t>
      </w:r>
    </w:p>
    <w:p w14:paraId="7237A89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发包人提供资金来源证明的期限要求：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9DF335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发包人是否提供支付担保：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FD4505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发包人提供支付担保的形式：</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3CC31E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0" w:name="_Toc351203635"/>
      <w:r>
        <w:rPr>
          <w:rFonts w:hint="eastAsia" w:ascii="仿宋" w:hAnsi="仿宋" w:eastAsia="仿宋" w:cs="仿宋"/>
          <w:b w:val="0"/>
          <w:color w:val="000000"/>
          <w:sz w:val="28"/>
          <w:szCs w:val="28"/>
        </w:rPr>
        <w:t>3</w:t>
      </w:r>
      <w:bookmarkStart w:id="51" w:name="_Toc297120458"/>
      <w:bookmarkStart w:id="52" w:name="_Toc296944497"/>
      <w:bookmarkStart w:id="53" w:name="_Toc296890986"/>
      <w:bookmarkStart w:id="54" w:name="_Toc296503158"/>
      <w:bookmarkStart w:id="55" w:name="_Toc296891198"/>
      <w:bookmarkStart w:id="56" w:name="_Toc296347157"/>
      <w:bookmarkStart w:id="57" w:name="_Toc297048344"/>
      <w:bookmarkStart w:id="58" w:name="_Toc296346659"/>
      <w:bookmarkStart w:id="59" w:name="_Toc292559868"/>
      <w:bookmarkStart w:id="60" w:name="_Toc292559363"/>
      <w:r>
        <w:rPr>
          <w:rFonts w:hint="eastAsia" w:ascii="仿宋" w:hAnsi="仿宋" w:eastAsia="仿宋" w:cs="仿宋"/>
          <w:b w:val="0"/>
          <w:color w:val="000000"/>
          <w:sz w:val="28"/>
          <w:szCs w:val="28"/>
        </w:rPr>
        <w:t>. 承包人</w:t>
      </w:r>
      <w:bookmarkEnd w:id="50"/>
    </w:p>
    <w:bookmarkEnd w:id="51"/>
    <w:bookmarkEnd w:id="52"/>
    <w:bookmarkEnd w:id="53"/>
    <w:bookmarkEnd w:id="54"/>
    <w:bookmarkEnd w:id="55"/>
    <w:bookmarkEnd w:id="56"/>
    <w:bookmarkEnd w:id="57"/>
    <w:bookmarkEnd w:id="58"/>
    <w:bookmarkEnd w:id="59"/>
    <w:bookmarkEnd w:id="60"/>
    <w:p w14:paraId="6F939A5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3.1 承包人的一般义务</w:t>
      </w:r>
    </w:p>
    <w:p w14:paraId="2DBCAE7A">
      <w:pPr>
        <w:pageBreakBefore w:val="0"/>
        <w:widowControl w:val="0"/>
        <w:kinsoku/>
        <w:wordWrap/>
        <w:overflowPunct/>
        <w:topLinePunct w:val="0"/>
        <w:bidi w:val="0"/>
        <w:snapToGrid/>
        <w:spacing w:line="360" w:lineRule="auto"/>
        <w:ind w:firstLine="280" w:firstLineChars="1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1</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承包人提交的竣工资料的内容：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DF9BFC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承包人需要提交的竣工资料套数：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FE6A9FA">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承包人提交的竣工资料的费用承担：</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D5EA09F">
      <w:pPr>
        <w:pageBreakBefore w:val="0"/>
        <w:widowControl w:val="0"/>
        <w:kinsoku/>
        <w:wordWrap/>
        <w:overflowPunct/>
        <w:topLinePunct w:val="0"/>
        <w:bidi w:val="0"/>
        <w:snapToGrid/>
        <w:spacing w:line="360" w:lineRule="auto"/>
        <w:ind w:left="973" w:leftChars="304"/>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承包人提交的竣工资料移交时间：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C6B488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承包人提交的竣工资料形式要求：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E51DAF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w:t>
      </w:r>
      <w:r>
        <w:rPr>
          <w:rFonts w:hint="eastAsia" w:ascii="仿宋" w:hAnsi="仿宋" w:eastAsia="仿宋" w:cs="仿宋"/>
          <w:color w:val="000000"/>
          <w:kern w:val="0"/>
          <w:sz w:val="28"/>
          <w:szCs w:val="28"/>
          <w:lang w:val="en-US" w:eastAsia="zh-CN"/>
        </w:rPr>
        <w:t>2</w:t>
      </w:r>
      <w:r>
        <w:rPr>
          <w:rFonts w:hint="eastAsia" w:ascii="仿宋" w:hAnsi="仿宋" w:eastAsia="仿宋" w:cs="仿宋"/>
          <w:color w:val="000000"/>
          <w:kern w:val="0"/>
          <w:sz w:val="28"/>
          <w:szCs w:val="28"/>
        </w:rPr>
        <w:t>）承包人应履行的其他义务：</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AB773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 项目经理</w:t>
      </w:r>
    </w:p>
    <w:p w14:paraId="278FADB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 xml:space="preserve">3.2.1 </w:t>
      </w:r>
      <w:r>
        <w:rPr>
          <w:rFonts w:hint="eastAsia" w:ascii="仿宋" w:hAnsi="仿宋" w:eastAsia="仿宋" w:cs="仿宋"/>
          <w:color w:val="000000"/>
          <w:sz w:val="28"/>
          <w:szCs w:val="28"/>
        </w:rPr>
        <w:t>项目经理：</w:t>
      </w:r>
    </w:p>
    <w:p w14:paraId="17DDD4F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F09524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身份证号：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71FF53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建造师执业资格等级：</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65DB45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建造师注册证书号：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C346E7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建造师执业印章号：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583C36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安全生产考核合格证书号：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E60E7F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8D59E9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CA362B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18D0184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承包人对项目经理的授权范围如下：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DA1AE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关于项目经理每月在施工现场的时间要求：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79341AA">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rPr>
        <w:t>承包人未提交劳动合同，以及没有为项目经理缴纳社会保险证明的违约责任：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w:t>
      </w:r>
    </w:p>
    <w:p w14:paraId="266143B4">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项目经理未经批准，擅自离开施工现场的违约责任：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80E532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3.2.3 承包人擅自更换项目经理的违约责任：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A39892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3.2.4 承包人无正当理由拒绝更换项目经理的违约责任：</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0559BE7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 承包人人员</w:t>
      </w:r>
    </w:p>
    <w:p w14:paraId="5C2EC47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3.3.1 承包人提交项目管理机构及施工现场管理人员安排报告的期限：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91A2DA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3.3.3 承包人无正当理由拒绝撤换主要施工管理人员的违约责任：</w:t>
      </w:r>
      <w:r>
        <w:rPr>
          <w:rFonts w:hint="eastAsia" w:ascii="仿宋" w:hAnsi="仿宋" w:eastAsia="仿宋" w:cs="仿宋"/>
          <w:color w:val="000000"/>
          <w:sz w:val="28"/>
          <w:szCs w:val="28"/>
          <w:u w:val="single"/>
        </w:rPr>
        <w:t xml:space="preserve">                                             </w:t>
      </w:r>
      <w:r>
        <w:rPr>
          <w:rFonts w:hint="eastAsia" w:ascii="仿宋" w:hAnsi="仿宋" w:eastAsia="仿宋" w:cs="仿宋"/>
          <w:color w:val="000000"/>
          <w:sz w:val="28"/>
          <w:szCs w:val="28"/>
        </w:rPr>
        <w:t>。</w:t>
      </w:r>
    </w:p>
    <w:p w14:paraId="3F7DC08F">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3.3.4 承包人主要施工管理人员离开施工现场的批准要求：</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2303292">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3.3.5承包人擅自更换主要施工管理人员的违约责任：</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none"/>
          <w:lang w:eastAsia="zh-CN"/>
        </w:rPr>
        <w:t>。</w:t>
      </w:r>
    </w:p>
    <w:p w14:paraId="1ACFE877">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承包人主要施工管理人员擅自离开施工现场的违约责任：</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12B9C7B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bookmarkStart w:id="61" w:name="_Toc296346660"/>
      <w:bookmarkStart w:id="62" w:name="_Toc297123492"/>
      <w:bookmarkStart w:id="63" w:name="_Toc292559869"/>
      <w:bookmarkStart w:id="64" w:name="_Toc297120459"/>
      <w:bookmarkStart w:id="65" w:name="_Toc296347158"/>
      <w:bookmarkStart w:id="66" w:name="_Toc303539102"/>
      <w:bookmarkStart w:id="67" w:name="_Toc296890987"/>
      <w:bookmarkStart w:id="68" w:name="_Toc297048345"/>
      <w:bookmarkStart w:id="69" w:name="_Toc292559364"/>
      <w:bookmarkStart w:id="70" w:name="_Toc300934945"/>
      <w:bookmarkStart w:id="71" w:name="_Toc297216151"/>
      <w:bookmarkStart w:id="72" w:name="_Toc296891199"/>
      <w:bookmarkStart w:id="73" w:name="_Toc312677988"/>
      <w:bookmarkStart w:id="74" w:name="_Toc296503159"/>
      <w:bookmarkStart w:id="75" w:name="_Toc296944498"/>
      <w:bookmarkStart w:id="76" w:name="_Toc304295523"/>
      <w:r>
        <w:rPr>
          <w:rFonts w:hint="eastAsia" w:ascii="仿宋" w:hAnsi="仿宋" w:eastAsia="仿宋" w:cs="仿宋"/>
          <w:color w:val="000000"/>
          <w:sz w:val="28"/>
          <w:szCs w:val="28"/>
        </w:rPr>
        <w:t>.5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767BA5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w:t>
      </w:r>
      <w:bookmarkStart w:id="77" w:name="_Toc297120460"/>
      <w:bookmarkStart w:id="78" w:name="_Toc296890988"/>
      <w:bookmarkStart w:id="79" w:name="_Toc300934946"/>
      <w:bookmarkStart w:id="80" w:name="_Toc304295524"/>
      <w:bookmarkStart w:id="81" w:name="_Toc303539103"/>
      <w:bookmarkStart w:id="82" w:name="_Toc296891200"/>
      <w:bookmarkStart w:id="83" w:name="_Toc297123493"/>
      <w:bookmarkStart w:id="84" w:name="_Toc292559870"/>
      <w:bookmarkStart w:id="85" w:name="_Toc296944499"/>
      <w:bookmarkStart w:id="86" w:name="_Toc292559365"/>
      <w:bookmarkStart w:id="87" w:name="_Toc296346661"/>
      <w:bookmarkStart w:id="88" w:name="_Toc296347159"/>
      <w:bookmarkStart w:id="89" w:name="_Toc296503160"/>
      <w:bookmarkStart w:id="90" w:name="_Toc297216152"/>
      <w:bookmarkStart w:id="91" w:name="_Toc297048346"/>
      <w:bookmarkStart w:id="92" w:name="_Toc318581158"/>
      <w:bookmarkStart w:id="93" w:name="_Toc312677989"/>
      <w:r>
        <w:rPr>
          <w:rFonts w:hint="eastAsia" w:ascii="仿宋" w:hAnsi="仿宋" w:eastAsia="仿宋" w:cs="仿宋"/>
          <w:sz w:val="28"/>
          <w:szCs w:val="28"/>
        </w:rPr>
        <w:t>.5.1 分包的一般约定</w:t>
      </w:r>
    </w:p>
    <w:p w14:paraId="46BB464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禁止分包的工程包括：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B25AD2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sz w:val="28"/>
          <w:szCs w:val="28"/>
        </w:rPr>
        <w:t>主体结构、关键性工作的范围：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4" w:name="_Toc297123494"/>
      <w:bookmarkStart w:id="95" w:name="_Toc296347160"/>
      <w:bookmarkStart w:id="96" w:name="_Toc300934947"/>
      <w:bookmarkStart w:id="97" w:name="_Toc296891201"/>
      <w:bookmarkStart w:id="98" w:name="_Toc297120461"/>
      <w:bookmarkStart w:id="99" w:name="_Toc296890989"/>
      <w:bookmarkStart w:id="100" w:name="_Toc297048347"/>
      <w:bookmarkStart w:id="101" w:name="_Toc304295525"/>
      <w:bookmarkStart w:id="102" w:name="_Toc296944500"/>
      <w:bookmarkStart w:id="103" w:name="_Toc296503161"/>
      <w:bookmarkStart w:id="104" w:name="_Toc303539104"/>
      <w:bookmarkStart w:id="105" w:name="_Toc296346662"/>
      <w:bookmarkStart w:id="106" w:name="_Toc297216153"/>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14:paraId="4FF84C9A">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sz w:val="28"/>
          <w:szCs w:val="28"/>
        </w:rPr>
        <w:t xml:space="preserve">    3</w:t>
      </w:r>
      <w:bookmarkStart w:id="107" w:name="_Toc318581159"/>
      <w:bookmarkStart w:id="108" w:name="_Toc312677990"/>
      <w:r>
        <w:rPr>
          <w:rFonts w:hint="eastAsia" w:ascii="仿宋" w:hAnsi="仿宋" w:eastAsia="仿宋" w:cs="仿宋"/>
          <w:sz w:val="28"/>
          <w:szCs w:val="28"/>
        </w:rPr>
        <w:t>.5.2分包的确定</w:t>
      </w:r>
    </w:p>
    <w:p w14:paraId="57F5D75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u w:val="single"/>
        </w:rPr>
      </w:pPr>
      <w:r>
        <w:rPr>
          <w:rFonts w:hint="eastAsia" w:ascii="仿宋" w:hAnsi="仿宋" w:eastAsia="仿宋" w:cs="仿宋"/>
          <w:sz w:val="28"/>
          <w:szCs w:val="28"/>
        </w:rPr>
        <w:t>允许分包的专业工程包括：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CC767F2">
      <w:pPr>
        <w:pageBreakBefore w:val="0"/>
        <w:widowControl w:val="0"/>
        <w:kinsoku/>
        <w:wordWrap/>
        <w:overflowPunct/>
        <w:topLinePunct w:val="0"/>
        <w:bidi w:val="0"/>
        <w:snapToGrid/>
        <w:spacing w:line="360" w:lineRule="auto"/>
        <w:outlineLvl w:val="9"/>
        <w:rPr>
          <w:rFonts w:hint="eastAsia" w:ascii="仿宋" w:hAnsi="仿宋" w:eastAsia="仿宋" w:cs="仿宋"/>
          <w:sz w:val="28"/>
          <w:szCs w:val="28"/>
        </w:rPr>
      </w:pPr>
      <w:r>
        <w:rPr>
          <w:rFonts w:hint="eastAsia" w:ascii="仿宋" w:hAnsi="仿宋" w:eastAsia="仿宋" w:cs="仿宋"/>
          <w:color w:val="000000"/>
          <w:sz w:val="28"/>
          <w:szCs w:val="28"/>
        </w:rPr>
        <w:t>其他关于分包的约定：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43DE4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 分包合同价款</w:t>
      </w:r>
    </w:p>
    <w:p w14:paraId="751D19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关于分包合同价款支付的约定：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107"/>
    <w:bookmarkEnd w:id="108"/>
    <w:p w14:paraId="56C314D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3.6 工程照管与成品、半成品保护</w:t>
      </w:r>
    </w:p>
    <w:p w14:paraId="7FE0189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承包人负责照管工程及工程相关的材料、工程设备的起始时间：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3F03DF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3.7 履约担保</w:t>
      </w:r>
    </w:p>
    <w:p w14:paraId="7DDE2E9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承包人是否提供履约担保：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A33470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承包人提供履约担保的形式、金额及期限的：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102813B">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09" w:name="_Toc351203636"/>
      <w:r>
        <w:rPr>
          <w:rFonts w:hint="eastAsia" w:ascii="仿宋" w:hAnsi="仿宋" w:eastAsia="仿宋" w:cs="仿宋"/>
          <w:b w:val="0"/>
          <w:color w:val="000000"/>
          <w:sz w:val="28"/>
          <w:szCs w:val="28"/>
        </w:rPr>
        <w:t>4</w:t>
      </w:r>
      <w:bookmarkStart w:id="110" w:name="_Toc296347161"/>
      <w:bookmarkStart w:id="111" w:name="_Toc296890990"/>
      <w:bookmarkStart w:id="112" w:name="_Toc292559366"/>
      <w:bookmarkStart w:id="113" w:name="_Toc296891202"/>
      <w:bookmarkStart w:id="114" w:name="_Toc297120462"/>
      <w:bookmarkStart w:id="115" w:name="_Toc296503162"/>
      <w:bookmarkStart w:id="116" w:name="_Toc297048348"/>
      <w:bookmarkStart w:id="117" w:name="_Toc267251413"/>
      <w:bookmarkStart w:id="118" w:name="_Toc292559871"/>
      <w:bookmarkStart w:id="119" w:name="_Toc296944501"/>
      <w:bookmarkStart w:id="120" w:name="_Toc296346663"/>
      <w:r>
        <w:rPr>
          <w:rFonts w:hint="eastAsia" w:ascii="仿宋" w:hAnsi="仿宋" w:eastAsia="仿宋" w:cs="仿宋"/>
          <w:b w:val="0"/>
          <w:color w:val="000000"/>
          <w:sz w:val="28"/>
          <w:szCs w:val="28"/>
        </w:rPr>
        <w:t>. 监</w:t>
      </w:r>
      <w:bookmarkEnd w:id="110"/>
      <w:bookmarkEnd w:id="111"/>
      <w:bookmarkEnd w:id="112"/>
      <w:bookmarkEnd w:id="113"/>
      <w:bookmarkEnd w:id="114"/>
      <w:bookmarkEnd w:id="115"/>
      <w:bookmarkEnd w:id="116"/>
      <w:bookmarkEnd w:id="117"/>
      <w:bookmarkEnd w:id="118"/>
      <w:bookmarkEnd w:id="119"/>
      <w:bookmarkEnd w:id="120"/>
      <w:r>
        <w:rPr>
          <w:rFonts w:hint="eastAsia" w:ascii="仿宋" w:hAnsi="仿宋" w:eastAsia="仿宋" w:cs="仿宋"/>
          <w:b w:val="0"/>
          <w:color w:val="000000"/>
          <w:sz w:val="28"/>
          <w:szCs w:val="28"/>
        </w:rPr>
        <w:t>理人</w:t>
      </w:r>
      <w:bookmarkEnd w:id="109"/>
    </w:p>
    <w:p w14:paraId="15757E5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4.1监理人的一般规定</w:t>
      </w:r>
    </w:p>
    <w:p w14:paraId="0F8CA42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182A56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关于监理人的监理权限：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0104132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关于监理人在施工现场的办公场所、生活场所的提供和费用承担的约定：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AB4424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4.2 监理人员</w:t>
      </w:r>
    </w:p>
    <w:p w14:paraId="39C736B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总监理工程师：</w:t>
      </w:r>
    </w:p>
    <w:p w14:paraId="2632DD6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姓    名：</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F4819C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职    务：</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E346C1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监理工程师执业资格证书号：</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664FFE6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联系电话：</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1F96F8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电子信箱：</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443F64E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通信地址：</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554A620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关于监理人的其他约定：</w:t>
      </w:r>
      <w:r>
        <w:rPr>
          <w:rFonts w:hint="eastAsia" w:ascii="仿宋" w:hAnsi="仿宋" w:eastAsia="仿宋" w:cs="仿宋"/>
          <w:color w:val="000000"/>
          <w:sz w:val="28"/>
          <w:szCs w:val="28"/>
          <w:u w:val="single"/>
        </w:rPr>
        <w:t xml:space="preserve">          </w:t>
      </w:r>
      <w:r>
        <w:rPr>
          <w:rFonts w:hint="eastAsia" w:ascii="仿宋" w:hAnsi="仿宋" w:eastAsia="仿宋" w:cs="仿宋"/>
          <w:color w:val="000000"/>
          <w:sz w:val="28"/>
          <w:szCs w:val="28"/>
        </w:rPr>
        <w:t>。</w:t>
      </w:r>
    </w:p>
    <w:p w14:paraId="24C9186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4.4 商定或确定</w:t>
      </w:r>
    </w:p>
    <w:p w14:paraId="642F276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121" w:name="_Toc267251418"/>
      <w:r>
        <w:rPr>
          <w:rFonts w:hint="eastAsia" w:ascii="仿宋" w:hAnsi="仿宋" w:eastAsia="仿宋" w:cs="仿宋"/>
          <w:color w:val="000000"/>
          <w:sz w:val="28"/>
          <w:szCs w:val="28"/>
        </w:rPr>
        <w:t>在发包人和承包人不能通过协商达成一致意见时，发包人授权监理人对以下事项进行确定：</w:t>
      </w:r>
    </w:p>
    <w:p w14:paraId="70E4F84B">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0717DFC">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4E7FEDB">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22" w:name="_Toc351203637"/>
      <w:r>
        <w:rPr>
          <w:rFonts w:hint="eastAsia" w:ascii="仿宋" w:hAnsi="仿宋" w:eastAsia="仿宋" w:cs="仿宋"/>
          <w:b w:val="0"/>
          <w:color w:val="000000"/>
          <w:sz w:val="28"/>
          <w:szCs w:val="28"/>
        </w:rPr>
        <w:t>5</w:t>
      </w:r>
      <w:bookmarkEnd w:id="121"/>
      <w:bookmarkStart w:id="123" w:name="_Toc296944502"/>
      <w:bookmarkStart w:id="124" w:name="_Toc297048349"/>
      <w:bookmarkStart w:id="125" w:name="_Toc296503163"/>
      <w:bookmarkStart w:id="126" w:name="_Toc292559367"/>
      <w:bookmarkStart w:id="127" w:name="_Toc292559872"/>
      <w:bookmarkStart w:id="128" w:name="_Toc297120463"/>
      <w:bookmarkStart w:id="129" w:name="_Toc296347162"/>
      <w:bookmarkStart w:id="130" w:name="_Toc296346664"/>
      <w:bookmarkStart w:id="131" w:name="_Toc296890991"/>
      <w:bookmarkStart w:id="132" w:name="_Toc296891203"/>
      <w:r>
        <w:rPr>
          <w:rFonts w:hint="eastAsia" w:ascii="仿宋" w:hAnsi="仿宋" w:eastAsia="仿宋" w:cs="仿宋"/>
          <w:b w:val="0"/>
          <w:color w:val="000000"/>
          <w:sz w:val="28"/>
          <w:szCs w:val="28"/>
        </w:rPr>
        <w:t>. 工程质量</w:t>
      </w:r>
      <w:bookmarkEnd w:id="122"/>
    </w:p>
    <w:p w14:paraId="6D2975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5.1 质量要求</w:t>
      </w:r>
    </w:p>
    <w:p w14:paraId="5FE9FC19">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w:t>
      </w:r>
      <w:bookmarkStart w:id="133" w:name="_Toc318581164"/>
      <w:bookmarkStart w:id="134" w:name="_Toc297123496"/>
      <w:bookmarkStart w:id="135" w:name="_Toc297216155"/>
      <w:bookmarkStart w:id="136" w:name="_Toc303539106"/>
      <w:bookmarkStart w:id="137" w:name="_Toc300934949"/>
      <w:bookmarkStart w:id="138" w:name="_Toc312677997"/>
      <w:bookmarkStart w:id="139" w:name="_Toc304295527"/>
      <w:r>
        <w:rPr>
          <w:rFonts w:hint="eastAsia" w:ascii="仿宋" w:hAnsi="仿宋" w:eastAsia="仿宋" w:cs="仿宋"/>
          <w:sz w:val="28"/>
          <w:szCs w:val="28"/>
        </w:rPr>
        <w:t>.1.1 特殊质量标准和要求：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6ECCDA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sz w:val="28"/>
          <w:szCs w:val="28"/>
        </w:rPr>
        <w:t>关于工程奖项的约定：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102B37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5.3 隐蔽工程检查</w:t>
      </w:r>
    </w:p>
    <w:p w14:paraId="06CB53CB">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5.3.2承包人提前通知监理人隐蔽工程检查的期限的约定：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5C2D7B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监理人不能按时进行检查时，应提前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06F0992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bookmarkStart w:id="140" w:name="_Toc351203638"/>
    </w:p>
    <w:p w14:paraId="24972C6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6. 安全文明施工与环境保护</w:t>
      </w:r>
      <w:bookmarkEnd w:id="140"/>
    </w:p>
    <w:p w14:paraId="03AB645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6.1安全文明施工</w:t>
      </w:r>
    </w:p>
    <w:p w14:paraId="0836A26C">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6.1.1</w:t>
      </w:r>
      <w:r>
        <w:rPr>
          <w:rFonts w:hint="eastAsia" w:ascii="仿宋" w:hAnsi="仿宋" w:eastAsia="仿宋" w:cs="仿宋"/>
          <w:color w:val="000000"/>
          <w:sz w:val="28"/>
          <w:szCs w:val="28"/>
        </w:rPr>
        <w:t xml:space="preserve"> 项目安全生产的达标目标及相应事项的约定：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6349549">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6.1.4 关于治安保卫的特别约定：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F04B57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关于编制施工场地治安管理计划的约定：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5806DA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6.1.5 文明施工</w:t>
      </w:r>
    </w:p>
    <w:p w14:paraId="2FD0CC4A">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合同当事人对文明施工的要求：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4DC6617">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6.1.6 关于安全文明施工费支付比例和支付期限的约定：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bookmarkEnd w:id="133"/>
    <w:bookmarkEnd w:id="134"/>
    <w:bookmarkEnd w:id="135"/>
    <w:bookmarkEnd w:id="136"/>
    <w:bookmarkEnd w:id="137"/>
    <w:bookmarkEnd w:id="138"/>
    <w:bookmarkEnd w:id="139"/>
    <w:p w14:paraId="6120A559">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41" w:name="_Toc351203639"/>
      <w:r>
        <w:rPr>
          <w:rFonts w:hint="eastAsia" w:ascii="仿宋" w:hAnsi="仿宋" w:eastAsia="仿宋" w:cs="仿宋"/>
          <w:b w:val="0"/>
          <w:color w:val="000000"/>
          <w:sz w:val="28"/>
          <w:szCs w:val="28"/>
        </w:rPr>
        <w:t>7. 工期和进度</w:t>
      </w:r>
      <w:bookmarkEnd w:id="141"/>
    </w:p>
    <w:p w14:paraId="0B22380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7.1 施工组织设计</w:t>
      </w:r>
    </w:p>
    <w:p w14:paraId="2170F452">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 xml:space="preserve">7.1.1 </w:t>
      </w:r>
      <w:r>
        <w:rPr>
          <w:rFonts w:hint="eastAsia" w:ascii="仿宋" w:hAnsi="仿宋" w:eastAsia="仿宋" w:cs="仿宋"/>
          <w:color w:val="000000"/>
          <w:sz w:val="28"/>
          <w:szCs w:val="28"/>
        </w:rPr>
        <w:t>合</w:t>
      </w:r>
      <w:r>
        <w:rPr>
          <w:rFonts w:hint="eastAsia" w:ascii="仿宋" w:hAnsi="仿宋" w:eastAsia="仿宋" w:cs="仿宋"/>
          <w:color w:val="000000"/>
          <w:kern w:val="0"/>
          <w:sz w:val="28"/>
          <w:szCs w:val="28"/>
        </w:rPr>
        <w:t>同当事人约定的施工组织设计应包括的其他内容：</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7D32569">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sz w:val="28"/>
          <w:szCs w:val="28"/>
        </w:rPr>
        <w:t>7.1.2</w:t>
      </w:r>
      <w:r>
        <w:rPr>
          <w:rFonts w:hint="eastAsia" w:ascii="仿宋" w:hAnsi="仿宋" w:eastAsia="仿宋" w:cs="仿宋"/>
          <w:color w:val="000000"/>
          <w:sz w:val="28"/>
          <w:szCs w:val="28"/>
        </w:rPr>
        <w:t xml:space="preserve"> </w:t>
      </w:r>
      <w:r>
        <w:rPr>
          <w:rFonts w:hint="eastAsia" w:ascii="仿宋" w:hAnsi="仿宋" w:eastAsia="仿宋" w:cs="仿宋"/>
          <w:color w:val="000000"/>
          <w:kern w:val="0"/>
          <w:sz w:val="28"/>
          <w:szCs w:val="28"/>
        </w:rPr>
        <w:t>施工组织设计的提交和修改</w:t>
      </w:r>
    </w:p>
    <w:p w14:paraId="47A6DC95">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承包人提交详细施工组织设计的期限的约定：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72C40C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发包人和监理人在收到详细的施工组织设计后确认或提出修改意见的期限：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19DE88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2" w:name="_Toc297216173"/>
      <w:bookmarkStart w:id="143" w:name="_Toc300934966"/>
      <w:bookmarkStart w:id="144" w:name="_Toc312678005"/>
      <w:bookmarkStart w:id="145" w:name="_Toc304295541"/>
      <w:bookmarkStart w:id="146" w:name="_Toc297123514"/>
      <w:bookmarkStart w:id="147" w:name="_Toc303539123"/>
      <w:bookmarkStart w:id="148" w:name="_Toc312677479"/>
      <w:r>
        <w:rPr>
          <w:rFonts w:hint="eastAsia" w:ascii="仿宋" w:hAnsi="仿宋" w:eastAsia="仿宋" w:cs="仿宋"/>
          <w:color w:val="000000"/>
          <w:sz w:val="28"/>
          <w:szCs w:val="28"/>
        </w:rPr>
        <w:t>.2 施工进度计划</w:t>
      </w:r>
    </w:p>
    <w:p w14:paraId="5E22DFE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7.2.2 施工进度计划的修订</w:t>
      </w:r>
    </w:p>
    <w:p w14:paraId="293B746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发包人和监理人在收到修订的施工进度计划后确认或提出修改意见的期限：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A46701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 开工</w:t>
      </w:r>
    </w:p>
    <w:p w14:paraId="0CAA489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7.3.1 开工准备</w:t>
      </w:r>
    </w:p>
    <w:p w14:paraId="58D94D18">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sz w:val="28"/>
          <w:szCs w:val="28"/>
          <w:u w:val="single"/>
        </w:rPr>
      </w:pPr>
      <w:r>
        <w:rPr>
          <w:rFonts w:hint="eastAsia" w:ascii="仿宋" w:hAnsi="仿宋" w:eastAsia="仿宋" w:cs="仿宋"/>
          <w:color w:val="000000"/>
          <w:sz w:val="28"/>
          <w:szCs w:val="28"/>
        </w:rPr>
        <w:t>关于承包人提交</w:t>
      </w:r>
      <w:r>
        <w:rPr>
          <w:rFonts w:hint="eastAsia" w:ascii="仿宋" w:hAnsi="仿宋" w:eastAsia="仿宋" w:cs="仿宋"/>
          <w:color w:val="000000"/>
          <w:kern w:val="0"/>
          <w:sz w:val="28"/>
          <w:szCs w:val="28"/>
        </w:rPr>
        <w:t>工程开工报审表的期限：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4242DE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关于发包人应完成的其他开工准备工作及期限：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18E74E74">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关于承包人应完成的其他开工准备工作及期限：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1EEA0D3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7.3.2开工通知</w:t>
      </w:r>
    </w:p>
    <w:p w14:paraId="56F6BC3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因发包人原因造成监理人未能在计划开工日期之日起</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天内发出开工通知的，承包人有权提出价格调整要求，或者解除合同。</w:t>
      </w:r>
    </w:p>
    <w:bookmarkEnd w:id="142"/>
    <w:bookmarkEnd w:id="143"/>
    <w:bookmarkEnd w:id="144"/>
    <w:bookmarkEnd w:id="145"/>
    <w:bookmarkEnd w:id="146"/>
    <w:bookmarkEnd w:id="147"/>
    <w:bookmarkEnd w:id="148"/>
    <w:p w14:paraId="1D95D4B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7.4 测量放线</w:t>
      </w:r>
    </w:p>
    <w:p w14:paraId="74BE78E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u w:val="single"/>
        </w:rPr>
      </w:pPr>
      <w:r>
        <w:rPr>
          <w:rFonts w:hint="eastAsia" w:ascii="仿宋" w:hAnsi="仿宋" w:eastAsia="仿宋" w:cs="仿宋"/>
          <w:sz w:val="28"/>
          <w:szCs w:val="28"/>
        </w:rPr>
        <w:t>7.4.1发包人通过监理人向承包人提供测量基准点、基准线和水准点及其书面资料的期限：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5AE861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49" w:name="_Toc304295546"/>
      <w:bookmarkStart w:id="150" w:name="_Toc312677484"/>
      <w:bookmarkStart w:id="151" w:name="_Toc300934968"/>
      <w:bookmarkStart w:id="152" w:name="_Toc297123516"/>
      <w:bookmarkStart w:id="153" w:name="_Toc312678010"/>
      <w:bookmarkStart w:id="154" w:name="_Toc303539125"/>
      <w:bookmarkStart w:id="155" w:name="_Toc297216175"/>
      <w:r>
        <w:rPr>
          <w:rFonts w:hint="eastAsia" w:ascii="仿宋" w:hAnsi="仿宋" w:eastAsia="仿宋" w:cs="仿宋"/>
          <w:color w:val="000000"/>
          <w:sz w:val="28"/>
          <w:szCs w:val="28"/>
        </w:rPr>
        <w:t>.5 工期延误</w:t>
      </w:r>
    </w:p>
    <w:bookmarkEnd w:id="149"/>
    <w:bookmarkEnd w:id="150"/>
    <w:bookmarkEnd w:id="151"/>
    <w:bookmarkEnd w:id="152"/>
    <w:bookmarkEnd w:id="153"/>
    <w:bookmarkEnd w:id="154"/>
    <w:bookmarkEnd w:id="155"/>
    <w:p w14:paraId="202A492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7.5.1 因发包人原因导致工期延误</w:t>
      </w:r>
    </w:p>
    <w:p w14:paraId="16769CCD">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（7）因发包人原因导致工期延误的其他情形：</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3567FC0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w:t>
      </w:r>
      <w:bookmarkStart w:id="156" w:name="_Toc318581169"/>
      <w:bookmarkStart w:id="157" w:name="_Toc312678012"/>
      <w:bookmarkStart w:id="158" w:name="_Toc312677486"/>
      <w:bookmarkStart w:id="159" w:name="_Toc304295548"/>
      <w:bookmarkStart w:id="160" w:name="_Toc297123518"/>
      <w:bookmarkStart w:id="161" w:name="_Toc297216177"/>
      <w:bookmarkStart w:id="162" w:name="_Toc300934970"/>
      <w:bookmarkStart w:id="163" w:name="_Toc303539127"/>
      <w:r>
        <w:rPr>
          <w:rFonts w:hint="eastAsia" w:ascii="仿宋" w:hAnsi="仿宋" w:eastAsia="仿宋" w:cs="仿宋"/>
          <w:sz w:val="28"/>
          <w:szCs w:val="28"/>
        </w:rPr>
        <w:t>.5.2 因承包人原因导致工期延误</w:t>
      </w:r>
    </w:p>
    <w:bookmarkEnd w:id="156"/>
    <w:bookmarkEnd w:id="157"/>
    <w:bookmarkEnd w:id="158"/>
    <w:p w14:paraId="4A19F1BC">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w:t>
      </w:r>
      <w:bookmarkStart w:id="164" w:name="_Toc312678013"/>
      <w:bookmarkStart w:id="165" w:name="_Toc312677487"/>
      <w:bookmarkStart w:id="166" w:name="_Toc318581170"/>
      <w:r>
        <w:rPr>
          <w:rFonts w:hint="eastAsia" w:ascii="仿宋" w:hAnsi="仿宋" w:eastAsia="仿宋" w:cs="仿宋"/>
          <w:color w:val="000000"/>
          <w:sz w:val="28"/>
          <w:szCs w:val="28"/>
        </w:rPr>
        <w:t>承包人原因造成工期延误，逾期竣工违约金的计算方法为：</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bookmarkEnd w:id="159"/>
      <w:bookmarkEnd w:id="160"/>
      <w:bookmarkEnd w:id="161"/>
      <w:bookmarkEnd w:id="162"/>
      <w:bookmarkEnd w:id="163"/>
      <w:bookmarkEnd w:id="164"/>
      <w:bookmarkEnd w:id="165"/>
    </w:p>
    <w:bookmarkEnd w:id="166"/>
    <w:p w14:paraId="45918E87">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因承包人原因造成工期延误，逾</w:t>
      </w:r>
      <w:bookmarkStart w:id="167" w:name="_Toc318581171"/>
      <w:bookmarkStart w:id="168" w:name="_Toc312678014"/>
      <w:r>
        <w:rPr>
          <w:rFonts w:hint="eastAsia" w:ascii="仿宋" w:hAnsi="仿宋" w:eastAsia="仿宋" w:cs="仿宋"/>
          <w:sz w:val="28"/>
          <w:szCs w:val="28"/>
        </w:rPr>
        <w:t>期竣工违约金的上限：</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67"/>
    <w:bookmarkEnd w:id="168"/>
    <w:p w14:paraId="5791EC3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69" w:name="_Toc304295549"/>
      <w:bookmarkStart w:id="170" w:name="_Toc297123519"/>
      <w:bookmarkStart w:id="171" w:name="_Toc300934971"/>
      <w:bookmarkStart w:id="172" w:name="_Toc303539128"/>
      <w:bookmarkStart w:id="173" w:name="_Toc297216178"/>
      <w:bookmarkStart w:id="174" w:name="_Toc312678015"/>
      <w:r>
        <w:rPr>
          <w:rFonts w:hint="eastAsia" w:ascii="仿宋" w:hAnsi="仿宋" w:eastAsia="仿宋" w:cs="仿宋"/>
          <w:color w:val="000000"/>
          <w:sz w:val="28"/>
          <w:szCs w:val="28"/>
        </w:rPr>
        <w:t>.6 不</w:t>
      </w:r>
      <w:bookmarkEnd w:id="169"/>
      <w:bookmarkEnd w:id="170"/>
      <w:bookmarkEnd w:id="171"/>
      <w:bookmarkEnd w:id="172"/>
      <w:bookmarkEnd w:id="173"/>
      <w:bookmarkEnd w:id="174"/>
      <w:r>
        <w:rPr>
          <w:rFonts w:hint="eastAsia" w:ascii="仿宋" w:hAnsi="仿宋" w:eastAsia="仿宋" w:cs="仿宋"/>
          <w:color w:val="000000"/>
          <w:sz w:val="28"/>
          <w:szCs w:val="28"/>
        </w:rPr>
        <w:t>利物质条件</w:t>
      </w:r>
    </w:p>
    <w:p w14:paraId="0EC7B99B">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bookmarkStart w:id="175" w:name="_Toc304295550"/>
      <w:bookmarkStart w:id="176" w:name="_Toc300934972"/>
      <w:bookmarkStart w:id="177" w:name="_Toc297123520"/>
      <w:bookmarkStart w:id="178" w:name="_Toc312678016"/>
      <w:bookmarkStart w:id="179" w:name="_Toc303539129"/>
      <w:bookmarkStart w:id="180" w:name="_Toc318581172"/>
      <w:bookmarkStart w:id="181" w:name="_Toc297216179"/>
      <w:r>
        <w:rPr>
          <w:rFonts w:hint="eastAsia" w:ascii="仿宋" w:hAnsi="仿宋" w:eastAsia="仿宋" w:cs="仿宋"/>
          <w:sz w:val="28"/>
          <w:szCs w:val="28"/>
        </w:rPr>
        <w:t>不利物质条件的其他情形和有关约定：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175"/>
    <w:bookmarkEnd w:id="176"/>
    <w:bookmarkEnd w:id="177"/>
    <w:bookmarkEnd w:id="178"/>
    <w:bookmarkEnd w:id="179"/>
    <w:bookmarkEnd w:id="180"/>
    <w:bookmarkEnd w:id="181"/>
    <w:p w14:paraId="126C249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bookmarkStart w:id="182" w:name="_Toc312678017"/>
      <w:bookmarkStart w:id="183" w:name="_Toc300934973"/>
      <w:bookmarkStart w:id="184" w:name="_Toc297216180"/>
      <w:bookmarkStart w:id="185" w:name="_Toc297123521"/>
      <w:bookmarkStart w:id="186" w:name="_Toc304295551"/>
      <w:bookmarkStart w:id="187" w:name="_Toc303539130"/>
      <w:r>
        <w:rPr>
          <w:rFonts w:hint="eastAsia" w:ascii="仿宋" w:hAnsi="仿宋" w:eastAsia="仿宋" w:cs="仿宋"/>
          <w:color w:val="000000"/>
          <w:sz w:val="28"/>
          <w:szCs w:val="28"/>
        </w:rPr>
        <w:t>.7异常恶劣的气候条件</w:t>
      </w:r>
    </w:p>
    <w:bookmarkEnd w:id="182"/>
    <w:bookmarkEnd w:id="183"/>
    <w:bookmarkEnd w:id="184"/>
    <w:bookmarkEnd w:id="185"/>
    <w:bookmarkEnd w:id="186"/>
    <w:bookmarkEnd w:id="187"/>
    <w:p w14:paraId="6F9B101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发包人和承包人同意以下情形视为异常恶劣的气候条件：</w:t>
      </w:r>
    </w:p>
    <w:p w14:paraId="27E07BC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C6BE1F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392692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0B3C83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7.9 提前竣工的奖励</w:t>
      </w:r>
    </w:p>
    <w:p w14:paraId="2409E34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7.9.2提前竣工的奖励：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2521F7D3">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188" w:name="_Toc351203640"/>
      <w:r>
        <w:rPr>
          <w:rFonts w:hint="eastAsia" w:ascii="仿宋" w:hAnsi="仿宋" w:eastAsia="仿宋" w:cs="仿宋"/>
          <w:b w:val="0"/>
          <w:color w:val="000000"/>
          <w:sz w:val="28"/>
          <w:szCs w:val="28"/>
        </w:rPr>
        <w:t>8. 材料与设备</w:t>
      </w:r>
      <w:bookmarkEnd w:id="188"/>
    </w:p>
    <w:bookmarkEnd w:id="123"/>
    <w:bookmarkEnd w:id="124"/>
    <w:bookmarkEnd w:id="125"/>
    <w:bookmarkEnd w:id="126"/>
    <w:bookmarkEnd w:id="127"/>
    <w:bookmarkEnd w:id="128"/>
    <w:bookmarkEnd w:id="129"/>
    <w:bookmarkEnd w:id="130"/>
    <w:bookmarkEnd w:id="131"/>
    <w:bookmarkEnd w:id="132"/>
    <w:p w14:paraId="15D917D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w:t>
      </w:r>
      <w:bookmarkStart w:id="189" w:name="_Toc296346668"/>
      <w:bookmarkStart w:id="190" w:name="_Toc296891207"/>
      <w:bookmarkStart w:id="191" w:name="_Toc297216186"/>
      <w:bookmarkStart w:id="192" w:name="_Toc292559372"/>
      <w:bookmarkStart w:id="193" w:name="_Toc296347166"/>
      <w:bookmarkStart w:id="194" w:name="_Toc296944506"/>
      <w:bookmarkStart w:id="195" w:name="_Toc304295556"/>
      <w:bookmarkStart w:id="196" w:name="_Toc296503167"/>
      <w:bookmarkStart w:id="197" w:name="_Toc297123527"/>
      <w:bookmarkStart w:id="198" w:name="_Toc303539136"/>
      <w:bookmarkStart w:id="199" w:name="_Toc312677493"/>
      <w:bookmarkStart w:id="200" w:name="_Toc312678019"/>
      <w:bookmarkStart w:id="201" w:name="_Toc296890995"/>
      <w:bookmarkStart w:id="202" w:name="_Toc280868654"/>
      <w:bookmarkStart w:id="203" w:name="_Toc300934979"/>
      <w:bookmarkStart w:id="204" w:name="_Toc292559877"/>
      <w:bookmarkStart w:id="205" w:name="_Toc297120467"/>
      <w:bookmarkStart w:id="206" w:name="_Toc297048353"/>
      <w:bookmarkStart w:id="207" w:name="_Toc267251424"/>
      <w:bookmarkStart w:id="208" w:name="_Toc280868656"/>
      <w:bookmarkStart w:id="209" w:name="_Toc280868655"/>
      <w:r>
        <w:rPr>
          <w:rFonts w:hint="eastAsia" w:ascii="仿宋" w:hAnsi="仿宋" w:eastAsia="仿宋" w:cs="仿宋"/>
          <w:color w:val="000000"/>
          <w:sz w:val="28"/>
          <w:szCs w:val="28"/>
        </w:rPr>
        <w:t>.4材料与工程设备的保管与使用</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14:paraId="4F4E48B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8</w:t>
      </w:r>
      <w:bookmarkStart w:id="210" w:name="_Toc292559373"/>
      <w:bookmarkStart w:id="211" w:name="_Toc292559878"/>
      <w:bookmarkStart w:id="212" w:name="_Toc312678020"/>
      <w:bookmarkStart w:id="213" w:name="_Toc297216187"/>
      <w:bookmarkStart w:id="214" w:name="_Toc297048354"/>
      <w:bookmarkStart w:id="215" w:name="_Toc297120468"/>
      <w:bookmarkStart w:id="216" w:name="_Toc303539137"/>
      <w:bookmarkStart w:id="217" w:name="_Toc296503168"/>
      <w:bookmarkStart w:id="218" w:name="_Toc297123528"/>
      <w:bookmarkStart w:id="219" w:name="_Toc296890996"/>
      <w:bookmarkStart w:id="220" w:name="_Toc296347167"/>
      <w:bookmarkStart w:id="221" w:name="_Toc296944507"/>
      <w:bookmarkStart w:id="222" w:name="_Toc304295557"/>
      <w:bookmarkStart w:id="223" w:name="_Toc300934980"/>
      <w:bookmarkStart w:id="224" w:name="_Toc312677494"/>
      <w:bookmarkStart w:id="225" w:name="_Toc296891208"/>
      <w:bookmarkStart w:id="226" w:name="_Toc296346669"/>
      <w:bookmarkStart w:id="227" w:name="_Toc318581173"/>
      <w:r>
        <w:rPr>
          <w:rFonts w:hint="eastAsia" w:ascii="仿宋" w:hAnsi="仿宋" w:eastAsia="仿宋" w:cs="仿宋"/>
          <w:sz w:val="28"/>
          <w:szCs w:val="28"/>
        </w:rPr>
        <w:t>.4.1发包人供应的材料设备的保管费用的承担：</w:t>
      </w:r>
      <w:r>
        <w:rPr>
          <w:rFonts w:hint="eastAsia" w:ascii="仿宋" w:hAnsi="仿宋" w:eastAsia="仿宋" w:cs="仿宋"/>
          <w:sz w:val="28"/>
          <w:szCs w:val="28"/>
          <w:u w:val="single"/>
        </w:rPr>
        <w:t xml:space="preserve">            </w:t>
      </w:r>
      <w:r>
        <w:rPr>
          <w:rFonts w:hint="eastAsia" w:ascii="仿宋" w:hAnsi="仿宋" w:eastAsia="仿宋" w:cs="仿宋"/>
          <w:sz w:val="28"/>
          <w:szCs w:val="28"/>
        </w:rPr>
        <w:t>。</w:t>
      </w:r>
      <w:bookmarkEnd w:id="210"/>
      <w:bookmarkEnd w:id="211"/>
    </w:p>
    <w:p w14:paraId="110F25A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8.6 样品</w:t>
      </w:r>
    </w:p>
    <w:p w14:paraId="5AC46AEF">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8.6.1</w:t>
      </w:r>
      <w:r>
        <w:rPr>
          <w:rFonts w:hint="eastAsia" w:ascii="仿宋" w:hAnsi="仿宋" w:eastAsia="仿宋" w:cs="仿宋"/>
          <w:color w:val="000000"/>
          <w:kern w:val="0"/>
          <w:sz w:val="28"/>
          <w:szCs w:val="28"/>
        </w:rPr>
        <w:tab/>
      </w:r>
      <w:r>
        <w:rPr>
          <w:rFonts w:hint="eastAsia" w:ascii="仿宋" w:hAnsi="仿宋" w:eastAsia="仿宋" w:cs="仿宋"/>
          <w:color w:val="000000"/>
          <w:kern w:val="0"/>
          <w:sz w:val="28"/>
          <w:szCs w:val="28"/>
        </w:rPr>
        <w:t>样品的报送与封存</w:t>
      </w:r>
    </w:p>
    <w:p w14:paraId="5B7B8715">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需要承包人报送样品的材料或工程设备，样品的种类、名称、规格、数量要求：</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C4AD94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8.8 施工设备和临时设施</w:t>
      </w:r>
    </w:p>
    <w:p w14:paraId="68927C35">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8.8.1 承包人提供的施工设备和临时设施</w:t>
      </w:r>
    </w:p>
    <w:p w14:paraId="0BFD7E44">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关于修建临时设施费用承担的约定：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14:paraId="26FBC7A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28" w:name="_Toc351203641"/>
      <w:r>
        <w:rPr>
          <w:rFonts w:hint="eastAsia" w:ascii="仿宋" w:hAnsi="仿宋" w:eastAsia="仿宋" w:cs="仿宋"/>
          <w:b w:val="0"/>
          <w:color w:val="000000"/>
          <w:sz w:val="28"/>
          <w:szCs w:val="28"/>
        </w:rPr>
        <w:t>9</w:t>
      </w:r>
      <w:bookmarkEnd w:id="207"/>
      <w:bookmarkEnd w:id="208"/>
      <w:bookmarkEnd w:id="209"/>
      <w:bookmarkStart w:id="229" w:name="_Toc297216192"/>
      <w:bookmarkStart w:id="230" w:name="_Toc297123533"/>
      <w:bookmarkStart w:id="231" w:name="_Toc304295559"/>
      <w:bookmarkStart w:id="232" w:name="_Toc300934982"/>
      <w:bookmarkStart w:id="233" w:name="_Toc312677495"/>
      <w:bookmarkStart w:id="234" w:name="_Toc303539139"/>
      <w:bookmarkStart w:id="235" w:name="_Toc312678021"/>
      <w:bookmarkStart w:id="236" w:name="_Toc296944512"/>
      <w:bookmarkStart w:id="237" w:name="_Toc296891001"/>
      <w:bookmarkStart w:id="238" w:name="_Toc267251427"/>
      <w:bookmarkStart w:id="239" w:name="_Toc297048359"/>
      <w:bookmarkStart w:id="240" w:name="_Toc296347172"/>
      <w:bookmarkStart w:id="241" w:name="_Toc267251428"/>
      <w:bookmarkStart w:id="242" w:name="_Toc296891213"/>
      <w:bookmarkStart w:id="243" w:name="_Toc296503173"/>
      <w:bookmarkStart w:id="244" w:name="_Toc292559378"/>
      <w:bookmarkStart w:id="245" w:name="_Toc297120473"/>
      <w:bookmarkStart w:id="246" w:name="_Toc296346674"/>
      <w:bookmarkStart w:id="247" w:name="_Toc292559883"/>
      <w:r>
        <w:rPr>
          <w:rFonts w:hint="eastAsia" w:ascii="仿宋" w:hAnsi="仿宋" w:eastAsia="仿宋" w:cs="仿宋"/>
          <w:b w:val="0"/>
          <w:color w:val="000000"/>
          <w:sz w:val="28"/>
          <w:szCs w:val="28"/>
        </w:rPr>
        <w:t>. 试验与检验</w:t>
      </w:r>
      <w:bookmarkEnd w:id="228"/>
    </w:p>
    <w:bookmarkEnd w:id="229"/>
    <w:bookmarkEnd w:id="230"/>
    <w:bookmarkEnd w:id="231"/>
    <w:bookmarkEnd w:id="232"/>
    <w:bookmarkEnd w:id="233"/>
    <w:bookmarkEnd w:id="234"/>
    <w:bookmarkEnd w:id="235"/>
    <w:p w14:paraId="6E0E087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9</w:t>
      </w:r>
      <w:bookmarkStart w:id="248" w:name="_Toc297123534"/>
      <w:bookmarkStart w:id="249" w:name="_Toc303539140"/>
      <w:bookmarkStart w:id="250" w:name="_Toc312678022"/>
      <w:bookmarkStart w:id="251" w:name="_Toc300934983"/>
      <w:bookmarkStart w:id="252" w:name="_Toc304295560"/>
      <w:bookmarkStart w:id="253" w:name="_Toc297216193"/>
      <w:bookmarkStart w:id="254" w:name="_Toc312677496"/>
      <w:r>
        <w:rPr>
          <w:rFonts w:hint="eastAsia" w:ascii="仿宋" w:hAnsi="仿宋" w:eastAsia="仿宋" w:cs="仿宋"/>
          <w:color w:val="000000"/>
          <w:sz w:val="28"/>
          <w:szCs w:val="28"/>
        </w:rPr>
        <w:t>.1试验设备与试验人员</w:t>
      </w:r>
    </w:p>
    <w:bookmarkEnd w:id="248"/>
    <w:bookmarkEnd w:id="249"/>
    <w:bookmarkEnd w:id="250"/>
    <w:bookmarkEnd w:id="251"/>
    <w:bookmarkEnd w:id="252"/>
    <w:bookmarkEnd w:id="253"/>
    <w:bookmarkEnd w:id="254"/>
    <w:p w14:paraId="12755D8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9</w:t>
      </w:r>
      <w:bookmarkStart w:id="255" w:name="_Toc304295561"/>
      <w:bookmarkStart w:id="256" w:name="_Toc312677497"/>
      <w:bookmarkStart w:id="257" w:name="_Toc297216194"/>
      <w:bookmarkStart w:id="258" w:name="_Toc297123535"/>
      <w:bookmarkStart w:id="259" w:name="_Toc300934984"/>
      <w:bookmarkStart w:id="260" w:name="_Toc312678023"/>
      <w:bookmarkStart w:id="261" w:name="_Toc303539141"/>
      <w:bookmarkStart w:id="262" w:name="_Toc318581174"/>
      <w:r>
        <w:rPr>
          <w:rFonts w:hint="eastAsia" w:ascii="仿宋" w:hAnsi="仿宋" w:eastAsia="仿宋" w:cs="仿宋"/>
          <w:sz w:val="28"/>
          <w:szCs w:val="28"/>
        </w:rPr>
        <w:t>.1.2 试验设备</w:t>
      </w:r>
    </w:p>
    <w:p w14:paraId="70BE4F98">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施工现场需要配置的试验场所：</w:t>
      </w:r>
      <w:bookmarkEnd w:id="255"/>
      <w:bookmarkEnd w:id="256"/>
      <w:bookmarkEnd w:id="257"/>
      <w:bookmarkEnd w:id="258"/>
      <w:bookmarkEnd w:id="259"/>
      <w:bookmarkEnd w:id="260"/>
      <w:bookmarkEnd w:id="261"/>
      <w:bookmarkStart w:id="263" w:name="_Toc300934985"/>
      <w:bookmarkStart w:id="264" w:name="_Toc297123536"/>
      <w:bookmarkStart w:id="265" w:name="_Toc297216195"/>
      <w:bookmarkStart w:id="266" w:name="_Toc312677498"/>
      <w:bookmarkStart w:id="267" w:name="_Toc312678024"/>
      <w:bookmarkStart w:id="268" w:name="_Toc303539142"/>
      <w:bookmarkStart w:id="269" w:name="_Toc304295562"/>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6F8C979">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施工现场需要配备的试验设备：</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A600E3E">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施工现场需要具备的其他试验条件：</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54AA832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9.4 现场工艺试验 </w:t>
      </w:r>
    </w:p>
    <w:p w14:paraId="74201D1C">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现场工艺试验的有关约定：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262"/>
    <w:bookmarkEnd w:id="263"/>
    <w:bookmarkEnd w:id="264"/>
    <w:bookmarkEnd w:id="265"/>
    <w:bookmarkEnd w:id="266"/>
    <w:bookmarkEnd w:id="267"/>
    <w:bookmarkEnd w:id="268"/>
    <w:bookmarkEnd w:id="269"/>
    <w:p w14:paraId="65BF733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270" w:name="_Toc351203642"/>
      <w:r>
        <w:rPr>
          <w:rFonts w:hint="eastAsia" w:ascii="仿宋" w:hAnsi="仿宋" w:eastAsia="仿宋" w:cs="仿宋"/>
          <w:b w:val="0"/>
          <w:color w:val="000000"/>
          <w:sz w:val="28"/>
          <w:szCs w:val="28"/>
        </w:rPr>
        <w:t>1</w:t>
      </w:r>
      <w:bookmarkEnd w:id="236"/>
      <w:bookmarkEnd w:id="237"/>
      <w:bookmarkEnd w:id="238"/>
      <w:bookmarkEnd w:id="239"/>
      <w:bookmarkEnd w:id="240"/>
      <w:bookmarkEnd w:id="241"/>
      <w:bookmarkEnd w:id="242"/>
      <w:bookmarkEnd w:id="243"/>
      <w:bookmarkEnd w:id="244"/>
      <w:bookmarkEnd w:id="245"/>
      <w:bookmarkEnd w:id="246"/>
      <w:bookmarkEnd w:id="247"/>
      <w:bookmarkStart w:id="271" w:name="_Toc296503193"/>
      <w:bookmarkStart w:id="272" w:name="_Toc297120493"/>
      <w:bookmarkStart w:id="273" w:name="_Toc292559398"/>
      <w:bookmarkStart w:id="274" w:name="_Toc303539146"/>
      <w:bookmarkStart w:id="275" w:name="_Toc296944532"/>
      <w:bookmarkStart w:id="276" w:name="_Toc296347192"/>
      <w:bookmarkStart w:id="277" w:name="_Toc297048379"/>
      <w:bookmarkStart w:id="278" w:name="_Toc297216199"/>
      <w:bookmarkStart w:id="279" w:name="_Toc296346694"/>
      <w:bookmarkStart w:id="280" w:name="_Toc292559903"/>
      <w:bookmarkStart w:id="281" w:name="_Toc304295566"/>
      <w:bookmarkStart w:id="282" w:name="_Toc297123540"/>
      <w:bookmarkStart w:id="283" w:name="_Toc300934989"/>
      <w:bookmarkStart w:id="284" w:name="_Toc296891233"/>
      <w:bookmarkStart w:id="285" w:name="_Toc296891021"/>
      <w:bookmarkStart w:id="286" w:name="_Toc312678025"/>
      <w:bookmarkStart w:id="287" w:name="_Toc312677499"/>
      <w:bookmarkStart w:id="288" w:name="_Toc267251441"/>
      <w:bookmarkStart w:id="289" w:name="_Toc267251439"/>
      <w:bookmarkStart w:id="290" w:name="_Toc267251433"/>
      <w:bookmarkStart w:id="291" w:name="_Toc267251435"/>
      <w:bookmarkStart w:id="292" w:name="_Toc267251437"/>
      <w:bookmarkStart w:id="293" w:name="_Toc267251440"/>
      <w:bookmarkStart w:id="294" w:name="_Toc267251442"/>
      <w:r>
        <w:rPr>
          <w:rFonts w:hint="eastAsia" w:ascii="仿宋" w:hAnsi="仿宋" w:eastAsia="仿宋" w:cs="仿宋"/>
          <w:b w:val="0"/>
          <w:color w:val="000000"/>
          <w:sz w:val="28"/>
          <w:szCs w:val="28"/>
        </w:rPr>
        <w:t>0. 变更</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bookmarkEnd w:id="286"/>
    <w:bookmarkEnd w:id="287"/>
    <w:p w14:paraId="5D53A88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295" w:name="_Toc297216200"/>
      <w:bookmarkStart w:id="296" w:name="_Toc303539147"/>
      <w:bookmarkStart w:id="297" w:name="_Toc296944533"/>
      <w:bookmarkStart w:id="298" w:name="_Toc297048380"/>
      <w:bookmarkStart w:id="299" w:name="_Toc296347193"/>
      <w:bookmarkStart w:id="300" w:name="_Toc297120494"/>
      <w:bookmarkStart w:id="301" w:name="_Toc304295567"/>
      <w:bookmarkStart w:id="302" w:name="_Toc292559399"/>
      <w:bookmarkStart w:id="303" w:name="_Toc296891234"/>
      <w:bookmarkStart w:id="304" w:name="_Toc312678026"/>
      <w:bookmarkStart w:id="305" w:name="_Toc297123541"/>
      <w:bookmarkStart w:id="306" w:name="_Toc296503194"/>
      <w:bookmarkStart w:id="307" w:name="_Toc296891022"/>
      <w:bookmarkStart w:id="308" w:name="_Toc300934990"/>
      <w:bookmarkStart w:id="309" w:name="_Toc296346695"/>
      <w:bookmarkStart w:id="310" w:name="_Toc292559904"/>
      <w:bookmarkStart w:id="311" w:name="_Toc312677500"/>
      <w:r>
        <w:rPr>
          <w:rFonts w:hint="eastAsia" w:ascii="仿宋" w:hAnsi="仿宋" w:eastAsia="仿宋" w:cs="仿宋"/>
          <w:color w:val="000000"/>
          <w:sz w:val="28"/>
          <w:szCs w:val="28"/>
        </w:rPr>
        <w:t>0.1变更的范围</w:t>
      </w:r>
    </w:p>
    <w:p w14:paraId="1801724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关于变更的范围的约定：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EC1ECD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10.4 变更估价</w:t>
      </w:r>
    </w:p>
    <w:p w14:paraId="228752E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10.4.1 变更估价原则</w:t>
      </w:r>
    </w:p>
    <w:p w14:paraId="4D15D7D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 xml:space="preserve">关于变更估价的约定: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CD42C0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Start w:id="312" w:name="_Toc296891025"/>
      <w:bookmarkStart w:id="313" w:name="_Toc296346698"/>
      <w:bookmarkStart w:id="314" w:name="_Toc296347196"/>
      <w:bookmarkStart w:id="315" w:name="_Toc297048383"/>
      <w:bookmarkStart w:id="316" w:name="_Toc296503197"/>
      <w:bookmarkStart w:id="317" w:name="_Toc297120497"/>
      <w:bookmarkStart w:id="318" w:name="_Toc296944536"/>
      <w:bookmarkStart w:id="319" w:name="_Toc297216203"/>
      <w:bookmarkStart w:id="320" w:name="_Toc303539150"/>
      <w:bookmarkStart w:id="321" w:name="_Toc292559402"/>
      <w:bookmarkStart w:id="322" w:name="_Toc292559907"/>
      <w:bookmarkStart w:id="323" w:name="_Toc297123544"/>
      <w:bookmarkStart w:id="324" w:name="_Toc300934993"/>
      <w:bookmarkStart w:id="325" w:name="_Toc296891237"/>
      <w:bookmarkStart w:id="326" w:name="_Toc304295570"/>
      <w:bookmarkStart w:id="327" w:name="_Toc312678029"/>
      <w:bookmarkStart w:id="328" w:name="_Toc312677503"/>
      <w:r>
        <w:rPr>
          <w:rFonts w:hint="eastAsia" w:ascii="仿宋" w:hAnsi="仿宋" w:eastAsia="仿宋" w:cs="仿宋"/>
          <w:color w:val="000000"/>
          <w:sz w:val="28"/>
          <w:szCs w:val="28"/>
        </w:rPr>
        <w:t>0.5承</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Start w:id="329" w:name="_Toc297120503"/>
      <w:bookmarkStart w:id="330" w:name="_Toc296346704"/>
      <w:bookmarkStart w:id="331" w:name="_Toc297123545"/>
      <w:bookmarkStart w:id="332" w:name="_Toc296347202"/>
      <w:bookmarkStart w:id="333" w:name="_Toc297048389"/>
      <w:bookmarkStart w:id="334" w:name="_Toc296503203"/>
      <w:bookmarkStart w:id="335" w:name="_Toc296944542"/>
      <w:bookmarkStart w:id="336" w:name="_Toc300934994"/>
      <w:bookmarkStart w:id="337" w:name="_Toc296891031"/>
      <w:bookmarkStart w:id="338" w:name="_Toc303539151"/>
      <w:bookmarkStart w:id="339" w:name="_Toc296891243"/>
      <w:bookmarkStart w:id="340" w:name="_Toc297216204"/>
      <w:bookmarkStart w:id="341" w:name="_Toc292559408"/>
      <w:bookmarkStart w:id="342" w:name="_Toc292559913"/>
      <w:r>
        <w:rPr>
          <w:rFonts w:hint="eastAsia" w:ascii="仿宋" w:hAnsi="仿宋" w:eastAsia="仿宋" w:cs="仿宋"/>
          <w:color w:val="000000"/>
          <w:sz w:val="28"/>
          <w:szCs w:val="28"/>
        </w:rPr>
        <w:t>包人的合理化建议</w:t>
      </w:r>
    </w:p>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14:paraId="1AFBB4A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监理人审查承包人合理化建议的期限：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3AB09D0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发包人审批承包人合理化建议的期限：</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F4BDDAC">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u w:val="single"/>
        </w:rPr>
      </w:pPr>
      <w:r>
        <w:rPr>
          <w:rFonts w:hint="eastAsia" w:ascii="仿宋" w:hAnsi="仿宋" w:eastAsia="仿宋" w:cs="仿宋"/>
          <w:sz w:val="28"/>
          <w:szCs w:val="28"/>
        </w:rPr>
        <w:t>承</w:t>
      </w:r>
      <w:bookmarkStart w:id="343" w:name="_Toc292559409"/>
      <w:bookmarkStart w:id="344" w:name="_Toc297216205"/>
      <w:bookmarkStart w:id="345" w:name="_Toc297048390"/>
      <w:bookmarkStart w:id="346" w:name="_Toc296891032"/>
      <w:bookmarkStart w:id="347" w:name="_Toc303539152"/>
      <w:bookmarkStart w:id="348" w:name="_Toc296944543"/>
      <w:bookmarkStart w:id="349" w:name="_Toc292559914"/>
      <w:bookmarkStart w:id="350" w:name="_Toc312678030"/>
      <w:bookmarkStart w:id="351" w:name="_Toc296503204"/>
      <w:bookmarkStart w:id="352" w:name="_Toc296346705"/>
      <w:bookmarkStart w:id="353" w:name="_Toc296891244"/>
      <w:bookmarkStart w:id="354" w:name="_Toc296347203"/>
      <w:bookmarkStart w:id="355" w:name="_Toc304295571"/>
      <w:bookmarkStart w:id="356" w:name="_Toc318581175"/>
      <w:bookmarkStart w:id="357" w:name="_Toc300934995"/>
      <w:bookmarkStart w:id="358" w:name="_Toc312677504"/>
      <w:bookmarkStart w:id="359" w:name="_Toc297120504"/>
      <w:bookmarkStart w:id="360" w:name="_Toc297123546"/>
      <w:r>
        <w:rPr>
          <w:rFonts w:hint="eastAsia" w:ascii="仿宋" w:hAnsi="仿宋" w:eastAsia="仿宋" w:cs="仿宋"/>
          <w:sz w:val="28"/>
          <w:szCs w:val="28"/>
        </w:rPr>
        <w:t>包人提出的合理化建议降低了合同价格或者提高了工程经济效益的奖励的方法和金额为：</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14:paraId="11E0B4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Start w:id="361" w:name="_Toc296347198"/>
      <w:bookmarkStart w:id="362" w:name="_Toc312677507"/>
      <w:bookmarkStart w:id="363" w:name="_Toc312678033"/>
      <w:bookmarkStart w:id="364" w:name="_Toc292559909"/>
      <w:bookmarkStart w:id="365" w:name="_Toc296891239"/>
      <w:bookmarkStart w:id="366" w:name="_Toc297123548"/>
      <w:bookmarkStart w:id="367" w:name="_Toc292559404"/>
      <w:bookmarkStart w:id="368" w:name="_Toc303539154"/>
      <w:bookmarkStart w:id="369" w:name="_Toc300934997"/>
      <w:bookmarkStart w:id="370" w:name="_Toc297120499"/>
      <w:bookmarkStart w:id="371" w:name="_Toc296944538"/>
      <w:bookmarkStart w:id="372" w:name="_Toc297216207"/>
      <w:bookmarkStart w:id="373" w:name="_Toc297048385"/>
      <w:bookmarkStart w:id="374" w:name="_Toc296503199"/>
      <w:bookmarkStart w:id="375" w:name="_Toc296891027"/>
      <w:bookmarkStart w:id="376" w:name="_Toc296346700"/>
      <w:bookmarkStart w:id="377" w:name="_Toc304295574"/>
      <w:r>
        <w:rPr>
          <w:rFonts w:hint="eastAsia" w:ascii="仿宋" w:hAnsi="仿宋" w:eastAsia="仿宋" w:cs="仿宋"/>
          <w:color w:val="000000"/>
          <w:sz w:val="28"/>
          <w:szCs w:val="28"/>
        </w:rPr>
        <w:t>0.7 暂估价</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14:paraId="7EF7BD4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kern w:val="0"/>
          <w:sz w:val="28"/>
          <w:szCs w:val="28"/>
        </w:rPr>
        <w:t>暂</w:t>
      </w:r>
      <w:bookmarkStart w:id="378" w:name="_Toc312678034"/>
      <w:bookmarkStart w:id="379" w:name="_Toc312677508"/>
      <w:bookmarkStart w:id="380" w:name="_Toc318581176"/>
      <w:r>
        <w:rPr>
          <w:rFonts w:hint="eastAsia" w:ascii="仿宋" w:hAnsi="仿宋" w:eastAsia="仿宋" w:cs="仿宋"/>
          <w:kern w:val="0"/>
          <w:sz w:val="28"/>
          <w:szCs w:val="28"/>
        </w:rPr>
        <w:t>估价材料和工程设备的明细详见附件11：《</w:t>
      </w:r>
      <w:r>
        <w:rPr>
          <w:rFonts w:hint="eastAsia" w:ascii="仿宋" w:hAnsi="仿宋" w:eastAsia="仿宋" w:cs="仿宋"/>
          <w:color w:val="000000"/>
          <w:sz w:val="28"/>
          <w:szCs w:val="28"/>
        </w:rPr>
        <w:t>暂估价一览表》</w:t>
      </w:r>
      <w:r>
        <w:rPr>
          <w:rFonts w:hint="eastAsia" w:ascii="仿宋" w:hAnsi="仿宋" w:eastAsia="仿宋" w:cs="仿宋"/>
          <w:kern w:val="0"/>
          <w:sz w:val="28"/>
          <w:szCs w:val="28"/>
        </w:rPr>
        <w:t>。</w:t>
      </w:r>
    </w:p>
    <w:bookmarkEnd w:id="378"/>
    <w:bookmarkEnd w:id="379"/>
    <w:bookmarkEnd w:id="380"/>
    <w:p w14:paraId="37D1FA2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w:t>
      </w:r>
      <w:bookmarkStart w:id="381" w:name="_Toc318581177"/>
      <w:bookmarkStart w:id="382" w:name="_Toc312677509"/>
      <w:bookmarkStart w:id="383" w:name="_Toc312678035"/>
      <w:r>
        <w:rPr>
          <w:rFonts w:hint="eastAsia" w:ascii="仿宋" w:hAnsi="仿宋" w:eastAsia="仿宋" w:cs="仿宋"/>
          <w:sz w:val="28"/>
          <w:szCs w:val="28"/>
        </w:rPr>
        <w:t>0.7.1 依法必须招标的暂估价项目</w:t>
      </w:r>
    </w:p>
    <w:bookmarkEnd w:id="381"/>
    <w:bookmarkEnd w:id="382"/>
    <w:bookmarkEnd w:id="383"/>
    <w:p w14:paraId="3E7643E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种方式确定。</w:t>
      </w:r>
    </w:p>
    <w:p w14:paraId="0911EBB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10.7.2 不属于依法必须招标的暂估价项目</w:t>
      </w:r>
    </w:p>
    <w:p w14:paraId="1E5FF5B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对于不属于依法必须招标的暂估价项目的确认和批准采取第</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种方式确定。</w:t>
      </w:r>
    </w:p>
    <w:p w14:paraId="3D058F2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第3种方式：</w:t>
      </w:r>
      <w:r>
        <w:rPr>
          <w:rFonts w:hint="eastAsia" w:ascii="仿宋" w:hAnsi="仿宋" w:eastAsia="仿宋" w:cs="仿宋"/>
          <w:color w:val="000000"/>
          <w:kern w:val="0"/>
          <w:sz w:val="28"/>
          <w:szCs w:val="28"/>
        </w:rPr>
        <w:t>承包人直接实施的暂估价项目</w:t>
      </w:r>
    </w:p>
    <w:p w14:paraId="41C1C028">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sz w:val="28"/>
          <w:szCs w:val="28"/>
        </w:rPr>
        <w:t>承包人直接实施的暂估价项目的约定：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F1FDC7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10.8 暂列金额</w:t>
      </w:r>
    </w:p>
    <w:p w14:paraId="436F9AAB">
      <w:pPr>
        <w:pageBreakBefore w:val="0"/>
        <w:widowControl w:val="0"/>
        <w:kinsoku/>
        <w:wordWrap/>
        <w:overflowPunct/>
        <w:topLinePunct w:val="0"/>
        <w:autoSpaceDE w:val="0"/>
        <w:autoSpaceDN w:val="0"/>
        <w:bidi w:val="0"/>
        <w:adjustRightInd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合同当事人关于暂列金额使用的约定：</w:t>
      </w:r>
      <w:r>
        <w:rPr>
          <w:rFonts w:hint="eastAsia" w:ascii="仿宋" w:hAnsi="仿宋" w:eastAsia="仿宋" w:cs="仿宋"/>
          <w:sz w:val="28"/>
          <w:szCs w:val="28"/>
          <w:u w:val="single"/>
        </w:rPr>
        <w:t xml:space="preserve">                     </w:t>
      </w:r>
      <w:r>
        <w:rPr>
          <w:rFonts w:hint="eastAsia" w:ascii="仿宋" w:hAnsi="仿宋" w:eastAsia="仿宋" w:cs="仿宋"/>
          <w:color w:val="000000"/>
          <w:kern w:val="0"/>
          <w:sz w:val="28"/>
          <w:szCs w:val="28"/>
        </w:rPr>
        <w:t>。</w:t>
      </w:r>
    </w:p>
    <w:p w14:paraId="22343C1A">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384" w:name="_Toc351203643"/>
      <w:r>
        <w:rPr>
          <w:rFonts w:hint="eastAsia" w:ascii="仿宋" w:hAnsi="仿宋" w:eastAsia="仿宋" w:cs="仿宋"/>
          <w:b w:val="0"/>
          <w:color w:val="000000"/>
          <w:sz w:val="28"/>
          <w:szCs w:val="28"/>
        </w:rPr>
        <w:t>11. 价格调整</w:t>
      </w:r>
      <w:bookmarkEnd w:id="384"/>
    </w:p>
    <w:p w14:paraId="1FA86DB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385" w:name="_Toc296503201"/>
      <w:bookmarkStart w:id="386" w:name="_Toc297120501"/>
      <w:bookmarkStart w:id="387" w:name="_Toc292559911"/>
      <w:bookmarkStart w:id="388" w:name="_Toc296891029"/>
      <w:bookmarkStart w:id="389" w:name="_Toc297048387"/>
      <w:bookmarkStart w:id="390" w:name="_Toc297123550"/>
      <w:bookmarkStart w:id="391" w:name="_Toc296944540"/>
      <w:bookmarkStart w:id="392" w:name="_Toc292559406"/>
      <w:bookmarkStart w:id="393" w:name="_Toc312678039"/>
      <w:bookmarkStart w:id="394" w:name="_Toc297216209"/>
      <w:bookmarkStart w:id="395" w:name="_Toc303539157"/>
      <w:bookmarkStart w:id="396" w:name="_Toc296347200"/>
      <w:bookmarkStart w:id="397" w:name="_Toc296891241"/>
      <w:bookmarkStart w:id="398" w:name="_Toc304295577"/>
      <w:bookmarkStart w:id="399" w:name="_Toc300935000"/>
      <w:bookmarkStart w:id="400" w:name="_Toc296346702"/>
      <w:r>
        <w:rPr>
          <w:rFonts w:hint="eastAsia" w:ascii="仿宋" w:hAnsi="仿宋" w:eastAsia="仿宋" w:cs="仿宋"/>
          <w:color w:val="000000"/>
          <w:sz w:val="28"/>
          <w:szCs w:val="28"/>
        </w:rPr>
        <w:t>11.1 市场价格波动引起的调整</w:t>
      </w:r>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14:paraId="306459B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市场价格波动是否调整合同价格的约定：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1EC1D2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因市场价格波动调整合同价格，采用以下</w:t>
      </w:r>
      <w:r>
        <w:rPr>
          <w:rFonts w:hint="eastAsia" w:ascii="仿宋" w:hAnsi="仿宋" w:eastAsia="仿宋" w:cs="仿宋"/>
          <w:sz w:val="28"/>
          <w:szCs w:val="28"/>
        </w:rPr>
        <w:t>第</w:t>
      </w:r>
      <w:r>
        <w:rPr>
          <w:rFonts w:hint="eastAsia" w:ascii="仿宋" w:hAnsi="仿宋" w:eastAsia="仿宋" w:cs="仿宋"/>
          <w:sz w:val="28"/>
          <w:szCs w:val="28"/>
          <w:u w:val="single"/>
        </w:rPr>
        <w:t xml:space="preserve">    </w:t>
      </w:r>
      <w:r>
        <w:rPr>
          <w:rFonts w:hint="eastAsia" w:ascii="仿宋" w:hAnsi="仿宋" w:eastAsia="仿宋" w:cs="仿宋"/>
          <w:color w:val="000000"/>
          <w:sz w:val="28"/>
          <w:szCs w:val="28"/>
        </w:rPr>
        <w:t>种方式对合同价格进行调整：</w:t>
      </w:r>
    </w:p>
    <w:p w14:paraId="4863A86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第1种方式：采用价格指数进行价格调整。</w:t>
      </w:r>
    </w:p>
    <w:p w14:paraId="695B1C8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关于各可调因子、定值和变值权重，以及基本价格指数及其来源的约定：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2CBFDA0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第2种方式：采用造价信息进行价格调整。</w:t>
      </w:r>
    </w:p>
    <w:p w14:paraId="37EB1FF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（2）关于基准价格的约定：</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D17365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%时，或材料单价跌幅以已标价工程量清单或预算书中载明材料单价为基础超过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530B643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%时，材料单价涨幅以已标价工程量清单或预算书中载明材料单价为基础超过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1C028486">
      <w:pPr>
        <w:pageBreakBefore w:val="0"/>
        <w:widowControl w:val="0"/>
        <w:kinsoku/>
        <w:wordWrap/>
        <w:overflowPunct/>
        <w:topLinePunct w:val="0"/>
        <w:bidi w:val="0"/>
        <w:snapToGrid/>
        <w:spacing w:line="360" w:lineRule="auto"/>
        <w:ind w:firstLine="64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%时，其超过部分据实调整。</w:t>
      </w:r>
    </w:p>
    <w:p w14:paraId="417498F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第3种方式：其他价格调整方式：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88"/>
    <w:bookmarkEnd w:id="289"/>
    <w:bookmarkEnd w:id="290"/>
    <w:bookmarkEnd w:id="291"/>
    <w:bookmarkEnd w:id="292"/>
    <w:bookmarkEnd w:id="293"/>
    <w:p w14:paraId="4EC5BBA2">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01" w:name="_Toc296944544"/>
      <w:bookmarkStart w:id="402" w:name="_Toc296891245"/>
      <w:bookmarkStart w:id="403" w:name="_Toc297120505"/>
      <w:bookmarkStart w:id="404" w:name="_Toc292559410"/>
      <w:bookmarkStart w:id="405" w:name="_Toc297048391"/>
      <w:bookmarkStart w:id="406" w:name="_Toc296346706"/>
      <w:bookmarkStart w:id="407" w:name="_Toc296891033"/>
      <w:bookmarkStart w:id="408" w:name="_Toc296347204"/>
      <w:bookmarkStart w:id="409" w:name="_Toc292559915"/>
      <w:bookmarkStart w:id="410" w:name="_Toc296503205"/>
      <w:bookmarkStart w:id="411" w:name="_Toc351203644"/>
      <w:bookmarkStart w:id="412" w:name="_Toc297216211"/>
      <w:bookmarkStart w:id="413" w:name="_Toc297123552"/>
      <w:bookmarkStart w:id="414" w:name="_Toc303539159"/>
      <w:bookmarkStart w:id="415" w:name="_Toc300935002"/>
      <w:bookmarkStart w:id="416" w:name="_Toc304295579"/>
      <w:bookmarkStart w:id="417" w:name="_Toc312678040"/>
      <w:r>
        <w:rPr>
          <w:rFonts w:hint="eastAsia" w:ascii="仿宋" w:hAnsi="仿宋" w:eastAsia="仿宋" w:cs="仿宋"/>
          <w:b w:val="0"/>
          <w:color w:val="000000"/>
          <w:sz w:val="28"/>
          <w:szCs w:val="28"/>
        </w:rPr>
        <w:t xml:space="preserve">12. </w:t>
      </w:r>
      <w:bookmarkEnd w:id="401"/>
      <w:bookmarkEnd w:id="402"/>
      <w:bookmarkEnd w:id="403"/>
      <w:bookmarkEnd w:id="404"/>
      <w:bookmarkEnd w:id="405"/>
      <w:bookmarkEnd w:id="406"/>
      <w:bookmarkEnd w:id="407"/>
      <w:bookmarkEnd w:id="408"/>
      <w:bookmarkEnd w:id="409"/>
      <w:bookmarkEnd w:id="410"/>
      <w:r>
        <w:rPr>
          <w:rFonts w:hint="eastAsia" w:ascii="仿宋" w:hAnsi="仿宋" w:eastAsia="仿宋" w:cs="仿宋"/>
          <w:b w:val="0"/>
          <w:color w:val="000000"/>
          <w:sz w:val="28"/>
          <w:szCs w:val="28"/>
        </w:rPr>
        <w:t>合同价格、计量与支付</w:t>
      </w:r>
      <w:bookmarkEnd w:id="411"/>
    </w:p>
    <w:bookmarkEnd w:id="412"/>
    <w:bookmarkEnd w:id="413"/>
    <w:bookmarkEnd w:id="414"/>
    <w:bookmarkEnd w:id="415"/>
    <w:bookmarkEnd w:id="416"/>
    <w:bookmarkEnd w:id="417"/>
    <w:p w14:paraId="4293928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18" w:name="_Toc267251461"/>
      <w:bookmarkStart w:id="419" w:name="_Toc292559916"/>
      <w:bookmarkStart w:id="420" w:name="_Toc292559411"/>
      <w:bookmarkStart w:id="421" w:name="_Toc296503206"/>
      <w:bookmarkStart w:id="422" w:name="_Toc296347205"/>
      <w:bookmarkStart w:id="423" w:name="_Toc297120506"/>
      <w:bookmarkStart w:id="424" w:name="_Toc296346707"/>
      <w:bookmarkStart w:id="425" w:name="_Toc296944545"/>
      <w:bookmarkStart w:id="426" w:name="_Toc297048392"/>
      <w:bookmarkStart w:id="427" w:name="_Toc296891034"/>
      <w:bookmarkStart w:id="428" w:name="_Toc296891246"/>
      <w:bookmarkStart w:id="429" w:name="_Toc300935003"/>
      <w:bookmarkStart w:id="430" w:name="_Toc297216212"/>
      <w:bookmarkStart w:id="431" w:name="_Toc304295580"/>
      <w:bookmarkStart w:id="432" w:name="_Toc297123553"/>
      <w:bookmarkStart w:id="433" w:name="_Toc312678041"/>
      <w:bookmarkStart w:id="434" w:name="_Toc303539160"/>
      <w:r>
        <w:rPr>
          <w:rFonts w:hint="eastAsia" w:ascii="仿宋" w:hAnsi="仿宋" w:eastAsia="仿宋" w:cs="仿宋"/>
          <w:color w:val="000000"/>
          <w:sz w:val="28"/>
          <w:szCs w:val="28"/>
        </w:rPr>
        <w:t>12.1 合</w:t>
      </w:r>
      <w:bookmarkEnd w:id="418"/>
      <w:bookmarkEnd w:id="419"/>
      <w:bookmarkEnd w:id="420"/>
      <w:r>
        <w:rPr>
          <w:rFonts w:hint="eastAsia" w:ascii="仿宋" w:hAnsi="仿宋" w:eastAsia="仿宋" w:cs="仿宋"/>
          <w:color w:val="000000"/>
          <w:sz w:val="28"/>
          <w:szCs w:val="28"/>
        </w:rPr>
        <w:t>同价</w:t>
      </w:r>
      <w:bookmarkEnd w:id="421"/>
      <w:bookmarkEnd w:id="422"/>
      <w:bookmarkEnd w:id="423"/>
      <w:bookmarkEnd w:id="424"/>
      <w:bookmarkEnd w:id="425"/>
      <w:bookmarkEnd w:id="426"/>
      <w:bookmarkEnd w:id="427"/>
      <w:bookmarkEnd w:id="428"/>
      <w:r>
        <w:rPr>
          <w:rFonts w:hint="eastAsia" w:ascii="仿宋" w:hAnsi="仿宋" w:eastAsia="仿宋" w:cs="仿宋"/>
          <w:color w:val="000000"/>
          <w:sz w:val="28"/>
          <w:szCs w:val="28"/>
        </w:rPr>
        <w:t>格形式</w:t>
      </w:r>
    </w:p>
    <w:bookmarkEnd w:id="429"/>
    <w:bookmarkEnd w:id="430"/>
    <w:bookmarkEnd w:id="431"/>
    <w:bookmarkEnd w:id="432"/>
    <w:bookmarkEnd w:id="433"/>
    <w:bookmarkEnd w:id="434"/>
    <w:p w14:paraId="5EDB5C1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w:t>
      </w:r>
    </w:p>
    <w:p w14:paraId="76A3B63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综合单价包含的风险范围：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D2803D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B08E45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2BE74D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w:t>
      </w:r>
    </w:p>
    <w:p w14:paraId="72B60DE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总价包含的风险范围：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C45D6F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风险费用的计算方法：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D79CC9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风险范围以外合同价格的调整方法：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CE0819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rPr>
        <w:t>3、其他价格方式：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eastAsia="zh-CN"/>
        </w:rPr>
        <w:t>。</w:t>
      </w:r>
    </w:p>
    <w:p w14:paraId="3E97DA5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35" w:name="_Toc303539161"/>
      <w:bookmarkStart w:id="436" w:name="_Toc312678042"/>
      <w:bookmarkStart w:id="437" w:name="_Toc300935004"/>
      <w:bookmarkStart w:id="438" w:name="_Toc304295581"/>
      <w:bookmarkStart w:id="439" w:name="_Toc297123554"/>
      <w:bookmarkStart w:id="440" w:name="_Toc297216213"/>
      <w:bookmarkStart w:id="441" w:name="_Toc296503207"/>
      <w:bookmarkStart w:id="442" w:name="_Toc296891247"/>
      <w:bookmarkStart w:id="443" w:name="_Toc296346708"/>
      <w:bookmarkStart w:id="444" w:name="_Toc296891035"/>
      <w:bookmarkStart w:id="445" w:name="_Toc296944546"/>
      <w:bookmarkStart w:id="446" w:name="_Toc296347206"/>
      <w:bookmarkStart w:id="447" w:name="_Toc292559412"/>
      <w:bookmarkStart w:id="448" w:name="_Toc292559917"/>
      <w:bookmarkStart w:id="449" w:name="_Toc297048393"/>
      <w:bookmarkStart w:id="450" w:name="_Toc297120507"/>
      <w:r>
        <w:rPr>
          <w:rFonts w:hint="eastAsia" w:ascii="仿宋" w:hAnsi="仿宋" w:eastAsia="仿宋" w:cs="仿宋"/>
          <w:color w:val="000000"/>
          <w:sz w:val="28"/>
          <w:szCs w:val="28"/>
        </w:rPr>
        <w:t>12.2 预付款</w:t>
      </w:r>
    </w:p>
    <w:bookmarkEnd w:id="435"/>
    <w:bookmarkEnd w:id="436"/>
    <w:bookmarkEnd w:id="437"/>
    <w:bookmarkEnd w:id="438"/>
    <w:bookmarkEnd w:id="439"/>
    <w:bookmarkEnd w:id="440"/>
    <w:p w14:paraId="733160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12.2.1 预付款的支付</w:t>
      </w:r>
    </w:p>
    <w:p w14:paraId="4A74E25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预付款支付比例或金额：</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8C2739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预付款支付期限：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C8CC48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预付款扣回的方式：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494C6B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12.2.2 预付款担保</w:t>
      </w:r>
    </w:p>
    <w:p w14:paraId="2EA7942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承包人提交预付款担保的期限：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08DAA1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预付款担保的形式为：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441"/>
    <w:bookmarkEnd w:id="442"/>
    <w:bookmarkEnd w:id="443"/>
    <w:bookmarkEnd w:id="444"/>
    <w:bookmarkEnd w:id="445"/>
    <w:bookmarkEnd w:id="446"/>
    <w:bookmarkEnd w:id="447"/>
    <w:bookmarkEnd w:id="448"/>
    <w:bookmarkEnd w:id="449"/>
    <w:bookmarkEnd w:id="450"/>
    <w:p w14:paraId="643A17E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 计量</w:t>
      </w:r>
    </w:p>
    <w:p w14:paraId="515C6B4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12.3.1 计量原则</w:t>
      </w:r>
    </w:p>
    <w:p w14:paraId="2FA7FDD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工程量计算规则：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DEBF6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12.3.2 计量周期</w:t>
      </w:r>
    </w:p>
    <w:p w14:paraId="097E41B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关于计量周期的约定：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3E59B0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12.3.3 单价合同的计量</w:t>
      </w:r>
    </w:p>
    <w:p w14:paraId="6F21EF7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关于单价合同计量的约定：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663D73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12.3.4 总价合同的计量</w:t>
      </w:r>
    </w:p>
    <w:p w14:paraId="2F09BD5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关于总价合同计量的约定：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C5EB4D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12.3.5总价合同采用支付分解表计量支付的，是否适用第</w:t>
      </w:r>
      <w:r>
        <w:rPr>
          <w:rFonts w:hint="eastAsia" w:ascii="仿宋" w:hAnsi="仿宋" w:eastAsia="仿宋" w:cs="仿宋"/>
          <w:color w:val="000000"/>
          <w:kern w:val="0"/>
          <w:sz w:val="28"/>
          <w:szCs w:val="28"/>
        </w:rPr>
        <w:t xml:space="preserve">12.3.4 </w:t>
      </w:r>
      <w:r>
        <w:rPr>
          <w:rFonts w:hint="eastAsia" w:ascii="仿宋" w:hAnsi="仿宋" w:eastAsia="仿宋" w:cs="仿宋"/>
          <w:color w:val="000000"/>
          <w:sz w:val="28"/>
          <w:szCs w:val="28"/>
        </w:rPr>
        <w:t>项</w:t>
      </w:r>
      <w:r>
        <w:rPr>
          <w:rFonts w:hint="eastAsia" w:ascii="仿宋" w:hAnsi="仿宋" w:eastAsia="仿宋" w:cs="仿宋"/>
          <w:color w:val="000000"/>
          <w:kern w:val="0"/>
          <w:sz w:val="28"/>
          <w:szCs w:val="28"/>
        </w:rPr>
        <w:t>〔总价合同的计量〕</w:t>
      </w:r>
      <w:r>
        <w:rPr>
          <w:rFonts w:hint="eastAsia" w:ascii="仿宋" w:hAnsi="仿宋" w:eastAsia="仿宋" w:cs="仿宋"/>
          <w:color w:val="000000"/>
          <w:sz w:val="28"/>
          <w:szCs w:val="28"/>
        </w:rPr>
        <w:t>约定进行计量：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2740BD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12.3.6 其他价格形式合同的计量</w:t>
      </w:r>
    </w:p>
    <w:p w14:paraId="50939795">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其他价格形式的计量方式和程序：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EED05A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 工程进度款支付</w:t>
      </w:r>
    </w:p>
    <w:p w14:paraId="73E1804F">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451" w:name="_Toc296346712"/>
      <w:bookmarkStart w:id="452" w:name="_Toc296347210"/>
      <w:bookmarkStart w:id="453" w:name="_Toc297123556"/>
      <w:bookmarkStart w:id="454" w:name="_Toc296503211"/>
      <w:bookmarkStart w:id="455" w:name="_Toc297048397"/>
      <w:bookmarkStart w:id="456" w:name="_Toc296891251"/>
      <w:bookmarkStart w:id="457" w:name="_Toc292559416"/>
      <w:bookmarkStart w:id="458" w:name="_Toc296891039"/>
      <w:bookmarkStart w:id="459" w:name="_Toc292559921"/>
      <w:bookmarkStart w:id="460" w:name="_Toc297120511"/>
      <w:bookmarkStart w:id="461" w:name="_Toc296944550"/>
      <w:bookmarkStart w:id="462" w:name="_Toc297216215"/>
      <w:bookmarkStart w:id="463" w:name="_Toc300935006"/>
      <w:bookmarkStart w:id="464" w:name="_Toc303539163"/>
      <w:r>
        <w:rPr>
          <w:rFonts w:hint="eastAsia" w:ascii="仿宋" w:hAnsi="仿宋" w:eastAsia="仿宋" w:cs="仿宋"/>
          <w:color w:val="000000"/>
          <w:sz w:val="28"/>
          <w:szCs w:val="28"/>
        </w:rPr>
        <w:t>12.4.1 付款周期</w:t>
      </w:r>
    </w:p>
    <w:p w14:paraId="3D93411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关于付款周期的约定：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AD0968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12.4.2 进度付款申请单的编制</w:t>
      </w:r>
    </w:p>
    <w:p w14:paraId="14A3282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关于进度付款申请单编制的约定：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FF868A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Pr>
          <w:rFonts w:hint="eastAsia" w:ascii="仿宋" w:hAnsi="仿宋" w:eastAsia="仿宋" w:cs="仿宋"/>
          <w:color w:val="000000"/>
          <w:sz w:val="28"/>
          <w:szCs w:val="28"/>
        </w:rPr>
        <w:t>2.4.3 进度付款申请单的提交</w:t>
      </w:r>
    </w:p>
    <w:p w14:paraId="049177B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（1）单价合同进度付款申请单提交的约定：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274F83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C00723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（3）其他价格形式合同进度付款申请单提交的约定：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54E1FF2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12.4.4 进度款审核和支付</w:t>
      </w:r>
    </w:p>
    <w:p w14:paraId="2B22B2E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（1）监理人审查并报送发包人的期限：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407090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发包人完成审批并签发进度款支付证书的期限：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1A81E28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（2）发包人支付进度款的期限：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5BB53C7">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发包人逾期支付进度款的违约金的计算方式：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310B735E">
      <w:pPr>
        <w:pageBreakBefore w:val="0"/>
        <w:widowControl w:val="0"/>
        <w:kinsoku/>
        <w:wordWrap/>
        <w:overflowPunct/>
        <w:topLinePunct w:val="0"/>
        <w:bidi w:val="0"/>
        <w:snapToGrid/>
        <w:spacing w:line="360" w:lineRule="auto"/>
        <w:ind w:firstLine="700" w:firstLineChars="25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12.4.6 支付分解表的编制</w:t>
      </w:r>
    </w:p>
    <w:p w14:paraId="6EEA47D7">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2、总价合同支付分解表的编制与审批：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47AAEA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3、单价合同的总价项目支付分解表的编制与审批：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294"/>
    <w:p w14:paraId="7EEBC06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465" w:name="_Toc351203645"/>
      <w:bookmarkStart w:id="466" w:name="_Toc296891047"/>
      <w:bookmarkStart w:id="467" w:name="_Toc297120519"/>
      <w:bookmarkStart w:id="468" w:name="_Toc292559929"/>
      <w:bookmarkStart w:id="469" w:name="_Toc304295593"/>
      <w:bookmarkStart w:id="470" w:name="_Toc303539172"/>
      <w:bookmarkStart w:id="471" w:name="_Toc296891259"/>
      <w:bookmarkStart w:id="472" w:name="_Toc296346720"/>
      <w:bookmarkStart w:id="473" w:name="_Toc296503219"/>
      <w:bookmarkStart w:id="474" w:name="_Toc300935015"/>
      <w:bookmarkStart w:id="475" w:name="_Toc296944558"/>
      <w:bookmarkStart w:id="476" w:name="_Toc296347218"/>
      <w:bookmarkStart w:id="477" w:name="_Toc297216223"/>
      <w:bookmarkStart w:id="478" w:name="_Toc297048405"/>
      <w:bookmarkStart w:id="479" w:name="_Toc297123564"/>
      <w:bookmarkStart w:id="480" w:name="_Toc312678053"/>
      <w:bookmarkStart w:id="481" w:name="_Toc292559424"/>
      <w:r>
        <w:rPr>
          <w:rFonts w:hint="eastAsia" w:ascii="仿宋" w:hAnsi="仿宋" w:eastAsia="仿宋" w:cs="仿宋"/>
          <w:b w:val="0"/>
          <w:color w:val="000000"/>
          <w:sz w:val="28"/>
          <w:szCs w:val="28"/>
        </w:rPr>
        <w:t>13. 验收和工程试车</w:t>
      </w:r>
      <w:bookmarkEnd w:id="465"/>
    </w:p>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14:paraId="496688A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13.1 分部分项工程验收</w:t>
      </w:r>
    </w:p>
    <w:p w14:paraId="2D2E4D6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13.1.2监理人不能按时进行验收时，应提前</w:t>
      </w:r>
      <w:r>
        <w:rPr>
          <w:rFonts w:hint="eastAsia" w:ascii="仿宋" w:hAnsi="仿宋" w:eastAsia="仿宋" w:cs="仿宋"/>
          <w:sz w:val="28"/>
          <w:szCs w:val="28"/>
          <w:u w:val="single"/>
        </w:rPr>
        <w:t xml:space="preserve">       </w:t>
      </w:r>
      <w:r>
        <w:rPr>
          <w:rFonts w:hint="eastAsia" w:ascii="仿宋" w:hAnsi="仿宋" w:eastAsia="仿宋" w:cs="仿宋"/>
          <w:sz w:val="28"/>
          <w:szCs w:val="28"/>
        </w:rPr>
        <w:t>小时提交书面延期要求。</w:t>
      </w:r>
    </w:p>
    <w:p w14:paraId="688D825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color w:val="000000"/>
          <w:sz w:val="28"/>
          <w:szCs w:val="28"/>
        </w:rPr>
      </w:pPr>
      <w:r>
        <w:rPr>
          <w:rFonts w:hint="eastAsia" w:ascii="仿宋" w:hAnsi="仿宋" w:eastAsia="仿宋" w:cs="仿宋"/>
          <w:sz w:val="28"/>
          <w:szCs w:val="28"/>
        </w:rPr>
        <w:t>关于延期最长不得超过：</w:t>
      </w:r>
      <w:r>
        <w:rPr>
          <w:rFonts w:hint="eastAsia" w:ascii="仿宋" w:hAnsi="仿宋" w:eastAsia="仿宋" w:cs="仿宋"/>
          <w:sz w:val="28"/>
          <w:szCs w:val="28"/>
          <w:u w:val="single"/>
        </w:rPr>
        <w:t xml:space="preserve">         </w:t>
      </w:r>
      <w:r>
        <w:rPr>
          <w:rFonts w:hint="eastAsia" w:ascii="仿宋" w:hAnsi="仿宋" w:eastAsia="仿宋" w:cs="仿宋"/>
          <w:sz w:val="28"/>
          <w:szCs w:val="28"/>
        </w:rPr>
        <w:t>小时。</w:t>
      </w:r>
    </w:p>
    <w:p w14:paraId="1E449EC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bookmarkStart w:id="482" w:name="_Toc296891051"/>
      <w:bookmarkStart w:id="483" w:name="_Toc297216224"/>
      <w:bookmarkStart w:id="484" w:name="_Toc296347222"/>
      <w:bookmarkStart w:id="485" w:name="_Toc297120523"/>
      <w:bookmarkStart w:id="486" w:name="_Toc292559933"/>
      <w:bookmarkStart w:id="487" w:name="_Toc303539173"/>
      <w:bookmarkStart w:id="488" w:name="_Toc296503223"/>
      <w:bookmarkStart w:id="489" w:name="_Toc296944562"/>
      <w:bookmarkStart w:id="490" w:name="_Toc297048409"/>
      <w:bookmarkStart w:id="491" w:name="_Toc296346724"/>
      <w:bookmarkStart w:id="492" w:name="_Toc297123565"/>
      <w:bookmarkStart w:id="493" w:name="_Toc296891263"/>
      <w:bookmarkStart w:id="494" w:name="_Toc292559428"/>
      <w:bookmarkStart w:id="495" w:name="_Toc304295596"/>
      <w:bookmarkStart w:id="496" w:name="_Toc312678056"/>
      <w:bookmarkStart w:id="497" w:name="_Toc300935016"/>
      <w:bookmarkStart w:id="498" w:name="_Toc267251472"/>
      <w:bookmarkStart w:id="499" w:name="_Toc267251476"/>
      <w:bookmarkStart w:id="500" w:name="_Toc267251475"/>
      <w:bookmarkStart w:id="501" w:name="_Toc267251470"/>
      <w:bookmarkStart w:id="502" w:name="_Toc267251473"/>
      <w:bookmarkStart w:id="503" w:name="_Toc267251474"/>
      <w:bookmarkStart w:id="504" w:name="_Toc267251471"/>
      <w:r>
        <w:rPr>
          <w:rFonts w:hint="eastAsia" w:ascii="仿宋" w:hAnsi="仿宋" w:eastAsia="仿宋" w:cs="仿宋"/>
          <w:color w:val="000000"/>
          <w:sz w:val="28"/>
          <w:szCs w:val="28"/>
        </w:rPr>
        <w:t>13.2 竣工验收</w:t>
      </w:r>
    </w:p>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14:paraId="66399C4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bookmarkStart w:id="505" w:name="_Toc280868704"/>
      <w:bookmarkStart w:id="506" w:name="_Toc280868705"/>
      <w:bookmarkStart w:id="507" w:name="_Toc280868706"/>
      <w:bookmarkStart w:id="508" w:name="_Toc280868707"/>
      <w:bookmarkStart w:id="509" w:name="_Toc280868708"/>
      <w:bookmarkStart w:id="510" w:name="_Toc280868709"/>
      <w:r>
        <w:rPr>
          <w:rFonts w:hint="eastAsia" w:ascii="仿宋" w:hAnsi="仿宋" w:eastAsia="仿宋" w:cs="仿宋"/>
          <w:color w:val="000000"/>
          <w:sz w:val="28"/>
          <w:szCs w:val="28"/>
        </w:rPr>
        <w:t>13.2.2竣工验收程序</w:t>
      </w:r>
    </w:p>
    <w:bookmarkEnd w:id="505"/>
    <w:p w14:paraId="70F10661">
      <w:pPr>
        <w:pageBreakBefore w:val="0"/>
        <w:widowControl w:val="0"/>
        <w:kinsoku/>
        <w:wordWrap/>
        <w:overflowPunct/>
        <w:topLinePunct w:val="0"/>
        <w:bidi w:val="0"/>
        <w:snapToGrid/>
        <w:spacing w:line="360" w:lineRule="auto"/>
        <w:ind w:left="6000" w:hanging="5600" w:hangingChars="2000"/>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关于竣工验收程序的约定：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B889FA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发包人不按照本项约定组织竣工验收、颁发工程接收证书的违约金的计算方法：</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6"/>
    <w:p w14:paraId="1A3053D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13.2.5移交、接收全部与部分工程</w:t>
      </w:r>
    </w:p>
    <w:bookmarkEnd w:id="507"/>
    <w:p w14:paraId="6892080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承包人向发包人移交工程的期限：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2F2EFD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kern w:val="0"/>
          <w:sz w:val="28"/>
          <w:szCs w:val="28"/>
        </w:rPr>
        <w:t>发包人未按本合同约定接收全部或部分工程的，违约金的计算方法为：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08"/>
    <w:p w14:paraId="2282C72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承包人未按时移交工程的，违约金的计算方法为：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782FE1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13.3 工程试车</w:t>
      </w:r>
    </w:p>
    <w:bookmarkEnd w:id="509"/>
    <w:p w14:paraId="5FC847C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13.3.1 试车程序</w:t>
      </w:r>
    </w:p>
    <w:p w14:paraId="221FD4C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工程试车内容：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34903D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（1）单机无负荷试车费用由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2237C55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（2）无负荷联动试车费用由</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承担。</w:t>
      </w:r>
    </w:p>
    <w:p w14:paraId="68EBE77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13.3.3 投料试车</w:t>
      </w:r>
    </w:p>
    <w:p w14:paraId="22F605F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关于投料试车相关事项的约定：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B2E648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13.6 竣工退场</w:t>
      </w:r>
    </w:p>
    <w:p w14:paraId="74DDC68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13.6.1 竣工退场</w:t>
      </w:r>
    </w:p>
    <w:p w14:paraId="2E76237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承包人完成竣工退场的期限：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kern w:val="0"/>
          <w:sz w:val="28"/>
          <w:szCs w:val="28"/>
        </w:rPr>
        <w:t>。</w:t>
      </w:r>
    </w:p>
    <w:p w14:paraId="5BD6DBE6">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11" w:name="_Toc351203646"/>
      <w:r>
        <w:rPr>
          <w:rFonts w:hint="eastAsia" w:ascii="仿宋" w:hAnsi="仿宋" w:eastAsia="仿宋" w:cs="仿宋"/>
          <w:b w:val="0"/>
          <w:color w:val="000000"/>
          <w:sz w:val="28"/>
          <w:szCs w:val="28"/>
        </w:rPr>
        <w:t>14. 竣工结算</w:t>
      </w:r>
      <w:bookmarkEnd w:id="511"/>
    </w:p>
    <w:p w14:paraId="16749FA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14.1 竣工结算申请</w:t>
      </w:r>
    </w:p>
    <w:p w14:paraId="2D115AA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承包人提交竣工结算申请单的期限：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48E9AB3">
      <w:pPr>
        <w:pageBreakBefore w:val="0"/>
        <w:widowControl w:val="0"/>
        <w:kinsoku/>
        <w:wordWrap/>
        <w:overflowPunct/>
        <w:topLinePunct w:val="0"/>
        <w:bidi w:val="0"/>
        <w:snapToGrid/>
        <w:spacing w:line="360" w:lineRule="auto"/>
        <w:jc w:val="left"/>
        <w:outlineLvl w:val="9"/>
        <w:rPr>
          <w:rFonts w:hint="eastAsia" w:ascii="仿宋" w:hAnsi="仿宋" w:eastAsia="仿宋" w:cs="仿宋"/>
          <w:sz w:val="28"/>
          <w:szCs w:val="28"/>
        </w:rPr>
      </w:pPr>
      <w:r>
        <w:rPr>
          <w:rFonts w:hint="eastAsia" w:ascii="仿宋" w:hAnsi="仿宋" w:eastAsia="仿宋" w:cs="仿宋"/>
          <w:color w:val="000000"/>
          <w:sz w:val="28"/>
          <w:szCs w:val="28"/>
        </w:rPr>
        <w:t>竣工结算申请单应包括的内容：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AB8C87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14.2 竣工结算审核</w:t>
      </w:r>
    </w:p>
    <w:p w14:paraId="6501638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发包人审批竣工付款申请单的期限：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946280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发包人完成竣工付款的期限：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52EE1E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关于竣工付款证书异议部分复核的方式和程序：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rPr>
        <w:t>。</w:t>
      </w:r>
    </w:p>
    <w:p w14:paraId="6B2B8F3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14.4 最终结清</w:t>
      </w:r>
    </w:p>
    <w:p w14:paraId="5A23A28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14.4.1 最终结清申请单</w:t>
      </w:r>
    </w:p>
    <w:p w14:paraId="77668F7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承包人提交最终结清申请单的份数：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12337F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color w:val="000000"/>
          <w:kern w:val="0"/>
          <w:sz w:val="28"/>
          <w:szCs w:val="28"/>
        </w:rPr>
        <w:t>承包人提交最终结算申请单的期限：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p>
    <w:p w14:paraId="11D3A45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14.4.2 最终结清证书和支付</w:t>
      </w:r>
    </w:p>
    <w:p w14:paraId="42FD1A2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sz w:val="28"/>
          <w:szCs w:val="28"/>
        </w:rPr>
      </w:pPr>
      <w:r>
        <w:rPr>
          <w:rFonts w:hint="eastAsia" w:ascii="仿宋" w:hAnsi="仿宋" w:eastAsia="仿宋" w:cs="仿宋"/>
          <w:sz w:val="28"/>
          <w:szCs w:val="28"/>
        </w:rPr>
        <w:t>（1）发包人完成最终结清申请单的审批并颁发最终结清证书的期限：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3AFBDD4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sz w:val="28"/>
          <w:szCs w:val="28"/>
        </w:rPr>
        <w:t>（2）发包人完成支付的期限：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bookmarkEnd w:id="498"/>
      <w:bookmarkEnd w:id="499"/>
      <w:bookmarkEnd w:id="500"/>
      <w:bookmarkEnd w:id="501"/>
      <w:bookmarkEnd w:id="502"/>
      <w:bookmarkEnd w:id="503"/>
      <w:bookmarkEnd w:id="504"/>
      <w:bookmarkEnd w:id="510"/>
      <w:bookmarkStart w:id="512" w:name="_Toc351203647"/>
      <w:bookmarkStart w:id="513" w:name="_Toc267251483"/>
      <w:bookmarkStart w:id="514" w:name="_Toc267251484"/>
      <w:bookmarkStart w:id="515" w:name="_Toc267251482"/>
      <w:bookmarkStart w:id="516" w:name="_Toc267251485"/>
      <w:bookmarkStart w:id="517" w:name="_Toc267251486"/>
      <w:bookmarkStart w:id="518" w:name="_Toc267251488"/>
      <w:bookmarkStart w:id="519" w:name="_Toc267251489"/>
      <w:bookmarkStart w:id="520" w:name="_Toc267251490"/>
      <w:bookmarkStart w:id="521" w:name="_Toc267251502"/>
      <w:bookmarkStart w:id="522" w:name="_Toc267251501"/>
      <w:bookmarkStart w:id="523" w:name="_Toc267251503"/>
      <w:bookmarkStart w:id="524" w:name="_Toc267251496"/>
      <w:bookmarkStart w:id="525" w:name="_Toc267251497"/>
      <w:bookmarkStart w:id="526" w:name="_Toc267251495"/>
      <w:bookmarkStart w:id="527" w:name="_Toc267251491"/>
      <w:bookmarkStart w:id="528" w:name="_Toc267251492"/>
      <w:bookmarkStart w:id="529" w:name="_Toc267251494"/>
      <w:bookmarkStart w:id="530" w:name="_Toc267251499"/>
      <w:bookmarkStart w:id="531" w:name="_Toc267251498"/>
      <w:bookmarkStart w:id="532" w:name="_Toc267251493"/>
      <w:bookmarkStart w:id="533" w:name="_Toc267251504"/>
      <w:bookmarkStart w:id="534" w:name="_Toc267251506"/>
      <w:bookmarkStart w:id="535" w:name="_Toc267251507"/>
      <w:bookmarkStart w:id="536" w:name="_Toc267251508"/>
      <w:bookmarkStart w:id="537" w:name="_Toc267251510"/>
      <w:bookmarkStart w:id="538" w:name="_Toc267251509"/>
      <w:bookmarkStart w:id="539" w:name="_Toc267251514"/>
      <w:bookmarkStart w:id="540" w:name="_Toc267251511"/>
      <w:bookmarkStart w:id="541" w:name="_Toc267251515"/>
      <w:bookmarkStart w:id="542" w:name="_Toc267251513"/>
    </w:p>
    <w:p w14:paraId="05DB64A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b w:val="0"/>
          <w:bCs/>
          <w:color w:val="000000"/>
          <w:sz w:val="28"/>
          <w:szCs w:val="28"/>
        </w:rPr>
      </w:pPr>
      <w:r>
        <w:rPr>
          <w:rFonts w:hint="eastAsia" w:ascii="仿宋" w:hAnsi="仿宋" w:eastAsia="仿宋" w:cs="仿宋"/>
          <w:b w:val="0"/>
          <w:bCs/>
          <w:color w:val="000000"/>
          <w:sz w:val="28"/>
          <w:szCs w:val="28"/>
        </w:rPr>
        <w:t>15. 缺陷责任期与保修</w:t>
      </w:r>
      <w:bookmarkEnd w:id="512"/>
    </w:p>
    <w:p w14:paraId="6860E0E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15.2缺陷责任期</w:t>
      </w:r>
      <w:bookmarkEnd w:id="513"/>
    </w:p>
    <w:p w14:paraId="4FD7ABC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缺陷责任期的具体期限：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9B02D0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 质量保证金</w:t>
      </w:r>
    </w:p>
    <w:p w14:paraId="34CF5C2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关于是否扣留质量保证金的约定：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。在工程项目竣工前，承包人按专用合同条款第3.7条提供履约担保的，发包人不得同时预留工程质量保证金。</w:t>
      </w:r>
    </w:p>
    <w:p w14:paraId="14BDB9D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15.3.1 承包人提供质量保证金的方式</w:t>
      </w:r>
    </w:p>
    <w:p w14:paraId="1BD74C3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质量保证金采用以下第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669698D4">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（1）质量保证金保函，保证金额为：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 xml:space="preserve">； </w:t>
      </w:r>
    </w:p>
    <w:p w14:paraId="7A57A02A">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%的工程款；</w:t>
      </w:r>
    </w:p>
    <w:p w14:paraId="5F71790F">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9D8C21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15.3.2 质量保证金的扣留 </w:t>
      </w:r>
    </w:p>
    <w:p w14:paraId="5C8D4F0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质量保证金的扣留采取以下第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w:t>
      </w:r>
    </w:p>
    <w:p w14:paraId="272290B0">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（1）在支付工程进度款时逐次扣留，在此情形下，质量保证金的计算基数不包括预付款的支付、扣回以及价格调整的金额；</w:t>
      </w:r>
    </w:p>
    <w:p w14:paraId="4416F95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（2）工程竣工结算时一次性扣留质量保证金；</w:t>
      </w:r>
    </w:p>
    <w:p w14:paraId="4F9199E3">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（3）其他扣留方式: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4C89D68">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关于质量保证金的补充约定：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4"/>
    <w:bookmarkEnd w:id="515"/>
    <w:p w14:paraId="1CA3686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15.4保修</w:t>
      </w:r>
    </w:p>
    <w:bookmarkEnd w:id="516"/>
    <w:p w14:paraId="1416568D">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15.4.1 保修责任</w:t>
      </w:r>
    </w:p>
    <w:p w14:paraId="7AF0D41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工程保修期为：</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0381F00">
      <w:pPr>
        <w:pageBreakBefore w:val="0"/>
        <w:widowControl w:val="0"/>
        <w:kinsoku/>
        <w:wordWrap/>
        <w:overflowPunct/>
        <w:topLinePunct w:val="0"/>
        <w:bidi w:val="0"/>
        <w:snapToGrid/>
        <w:spacing w:line="360" w:lineRule="auto"/>
        <w:ind w:firstLine="546" w:firstLineChars="195"/>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15.4.3 修复通知</w:t>
      </w:r>
    </w:p>
    <w:p w14:paraId="2E64B5A9">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承包人收到保修通知并到达工程现场的合理时间：</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bookmarkEnd w:id="517"/>
    <w:bookmarkEnd w:id="518"/>
    <w:bookmarkEnd w:id="519"/>
    <w:bookmarkEnd w:id="520"/>
    <w:p w14:paraId="60F9E420">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3" w:name="_Toc351203648"/>
      <w:bookmarkStart w:id="544" w:name="_Toc280868717"/>
      <w:bookmarkStart w:id="545" w:name="_Toc280868718"/>
      <w:r>
        <w:rPr>
          <w:rFonts w:hint="eastAsia" w:ascii="仿宋" w:hAnsi="仿宋" w:eastAsia="仿宋" w:cs="仿宋"/>
          <w:b w:val="0"/>
          <w:color w:val="000000"/>
          <w:sz w:val="28"/>
          <w:szCs w:val="28"/>
        </w:rPr>
        <w:t>16. 违约</w:t>
      </w:r>
      <w:bookmarkEnd w:id="543"/>
    </w:p>
    <w:p w14:paraId="19FFE66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 发包人违约</w:t>
      </w:r>
    </w:p>
    <w:p w14:paraId="6A05771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16.1.1发包人违约的情形</w:t>
      </w:r>
    </w:p>
    <w:p w14:paraId="4108A603">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2940C02E">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 xml:space="preserve">    16.1.2 发包人违约的责任</w:t>
      </w:r>
    </w:p>
    <w:p w14:paraId="4668C29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发包人违约责任的承担方式和计算方法：</w:t>
      </w:r>
    </w:p>
    <w:p w14:paraId="308DCD5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（1）因发包人原因未能在计划开工日期前7天内下达开工通知的违约责任：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3D4CABC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（2）因发包人原因未能按合同约定支付合同价款的违约责任：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D576A0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（3）发包人违反第10.1款〔变更的范围〕第（2）项约定，自行实施被取消的工作或转由他人实施的违约责任：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C7CA5F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（4）发包人提供的材料、工程设备的规格、数量或质量不符合合同约定，或因发包人原因导致交货日期延误或交货地点变更等情况的违约责任：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7C3500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（5）因发包人违反合同约定造成暂停施工的违约责任：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rPr>
        <w:t>。</w:t>
      </w:r>
    </w:p>
    <w:p w14:paraId="00AC340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（6）发包人无正当理由没有在约定期限内发出复工指示，导致承包人无法复工的违约责任：</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07CCBA5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（7）其他：</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4B9797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16.1.3 因发包人违约解除合同</w:t>
      </w:r>
    </w:p>
    <w:p w14:paraId="068A7731">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承包人按16.1.1项〔发包人违约的情形〕约定暂停施工满</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天后发包人仍不纠正其违约行为并致使合同目的不能实现的，承包人有权解除合同。</w:t>
      </w:r>
    </w:p>
    <w:p w14:paraId="13FB6C8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 承包人违约</w:t>
      </w:r>
    </w:p>
    <w:p w14:paraId="1B5B11B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16.2.1 承包人违约的情形</w:t>
      </w:r>
    </w:p>
    <w:p w14:paraId="7BA0E1F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承包人违约的其他情形：</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6765757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16.2.2承包人违约的责任</w:t>
      </w:r>
    </w:p>
    <w:p w14:paraId="4EECC18A">
      <w:pPr>
        <w:pageBreakBefore w:val="0"/>
        <w:widowControl w:val="0"/>
        <w:kinsoku/>
        <w:wordWrap/>
        <w:overflowPunct/>
        <w:topLinePunct w:val="0"/>
        <w:bidi w:val="0"/>
        <w:snapToGrid/>
        <w:spacing w:line="360" w:lineRule="auto"/>
        <w:ind w:left="1500" w:hanging="1400" w:hangingChars="5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kern w:val="0"/>
          <w:sz w:val="28"/>
          <w:szCs w:val="28"/>
        </w:rPr>
        <w:t>承包人违约责任的承担方式和计算方法：</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r>
        <w:rPr>
          <w:rFonts w:hint="eastAsia" w:ascii="仿宋" w:hAnsi="仿宋" w:eastAsia="仿宋" w:cs="仿宋"/>
          <w:color w:val="000000"/>
          <w:sz w:val="28"/>
          <w:szCs w:val="28"/>
        </w:rPr>
        <w:t xml:space="preserve">    </w:t>
      </w:r>
    </w:p>
    <w:p w14:paraId="1FA96A0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16.2.3 因承包人违约解除合同</w:t>
      </w:r>
    </w:p>
    <w:p w14:paraId="52B1406E">
      <w:pPr>
        <w:pageBreakBefore w:val="0"/>
        <w:widowControl w:val="0"/>
        <w:kinsoku/>
        <w:wordWrap/>
        <w:overflowPunct/>
        <w:topLinePunct w:val="0"/>
        <w:bidi w:val="0"/>
        <w:snapToGrid/>
        <w:spacing w:line="360" w:lineRule="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关于承包人违约解除合同的特别约定：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77FEED81">
      <w:pPr>
        <w:keepNext w:val="0"/>
        <w:keepLines w:val="0"/>
        <w:pageBreakBefore w:val="0"/>
        <w:widowControl w:val="0"/>
        <w:kinsoku/>
        <w:wordWrap w:val="0"/>
        <w:overflowPunct/>
        <w:topLinePunct/>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发包人继续使用承包人在施工现场的材料、设备、临时工程、承包人文件和由承包人或以其名义编制的其他文件的费用承担方式：</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B16A0AD">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6" w:name="_Toc351203649"/>
      <w:r>
        <w:rPr>
          <w:rFonts w:hint="eastAsia" w:ascii="仿宋" w:hAnsi="仿宋" w:eastAsia="仿宋" w:cs="仿宋"/>
          <w:b w:val="0"/>
          <w:color w:val="000000"/>
          <w:sz w:val="28"/>
          <w:szCs w:val="28"/>
        </w:rPr>
        <w:t>17. 不可抗力</w:t>
      </w:r>
      <w:bookmarkEnd w:id="546"/>
      <w:r>
        <w:rPr>
          <w:rFonts w:hint="eastAsia" w:ascii="仿宋" w:hAnsi="仿宋" w:eastAsia="仿宋" w:cs="仿宋"/>
          <w:b w:val="0"/>
          <w:color w:val="000000"/>
          <w:sz w:val="28"/>
          <w:szCs w:val="28"/>
        </w:rPr>
        <w:t xml:space="preserve"> </w:t>
      </w:r>
      <w:bookmarkEnd w:id="544"/>
    </w:p>
    <w:p w14:paraId="170EE5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17.1 不可抗力的确认</w:t>
      </w:r>
    </w:p>
    <w:p w14:paraId="09BA80F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u w:val="single"/>
        </w:rPr>
      </w:pPr>
      <w:r>
        <w:rPr>
          <w:rFonts w:hint="eastAsia" w:ascii="仿宋" w:hAnsi="仿宋" w:eastAsia="仿宋" w:cs="仿宋"/>
          <w:color w:val="000000"/>
          <w:sz w:val="28"/>
          <w:szCs w:val="28"/>
        </w:rPr>
        <w:t xml:space="preserve">除通用合同条款约定的不可抗力事件之外，视为不可抗力的其他情形： </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48793EC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17.4 因不可抗力解除合同</w:t>
      </w:r>
    </w:p>
    <w:p w14:paraId="74DE4AC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合同解除后，发包人应在商定或确定发包人应支付款项后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天内完成款项的支付。</w:t>
      </w:r>
    </w:p>
    <w:p w14:paraId="6D49B65C">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7" w:name="_Toc351203650"/>
      <w:r>
        <w:rPr>
          <w:rFonts w:hint="eastAsia" w:ascii="仿宋" w:hAnsi="仿宋" w:eastAsia="仿宋" w:cs="仿宋"/>
          <w:b w:val="0"/>
          <w:color w:val="000000"/>
          <w:sz w:val="28"/>
          <w:szCs w:val="28"/>
        </w:rPr>
        <w:t>18. 保险</w:t>
      </w:r>
      <w:bookmarkEnd w:id="547"/>
    </w:p>
    <w:bookmarkEnd w:id="545"/>
    <w:p w14:paraId="063C066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18.1 工程保险</w:t>
      </w:r>
    </w:p>
    <w:p w14:paraId="66C7DF5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关于工程保险的特别约定：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5596CA75">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18.3 其他保险</w:t>
      </w:r>
    </w:p>
    <w:p w14:paraId="2704D7D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关于其他保险的约定：</w:t>
      </w:r>
      <w:r>
        <w:rPr>
          <w:rFonts w:hint="eastAsia" w:ascii="仿宋" w:hAnsi="仿宋" w:eastAsia="仿宋" w:cs="仿宋"/>
          <w:color w:val="000000"/>
          <w:kern w:val="0"/>
          <w:sz w:val="28"/>
          <w:szCs w:val="28"/>
          <w:u w:val="single"/>
        </w:rPr>
        <w:t xml:space="preserve">                                  </w:t>
      </w:r>
      <w:r>
        <w:rPr>
          <w:rFonts w:hint="eastAsia" w:ascii="仿宋" w:hAnsi="仿宋" w:eastAsia="仿宋" w:cs="仿宋"/>
          <w:color w:val="000000"/>
          <w:kern w:val="0"/>
          <w:sz w:val="28"/>
          <w:szCs w:val="28"/>
        </w:rPr>
        <w:t>。</w:t>
      </w:r>
    </w:p>
    <w:p w14:paraId="1C8E27E0">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kern w:val="0"/>
          <w:sz w:val="28"/>
          <w:szCs w:val="28"/>
        </w:rPr>
      </w:pPr>
      <w:r>
        <w:rPr>
          <w:rFonts w:hint="eastAsia" w:ascii="仿宋" w:hAnsi="仿宋" w:eastAsia="仿宋" w:cs="仿宋"/>
          <w:color w:val="000000"/>
          <w:sz w:val="28"/>
          <w:szCs w:val="28"/>
        </w:rPr>
        <w:t>承包人是否应为其施工设备等办理财产保险：</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D3C6F4F">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18.7 通知义务</w:t>
      </w:r>
    </w:p>
    <w:p w14:paraId="1D8042D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kern w:val="0"/>
          <w:sz w:val="28"/>
          <w:szCs w:val="28"/>
        </w:rPr>
        <w:t>关于变更保险合同时的通知义务的约定：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bookmarkEnd w:id="521"/>
    <w:bookmarkEnd w:id="522"/>
    <w:bookmarkEnd w:id="523"/>
    <w:bookmarkEnd w:id="524"/>
    <w:bookmarkEnd w:id="525"/>
    <w:bookmarkEnd w:id="526"/>
    <w:bookmarkEnd w:id="527"/>
    <w:bookmarkEnd w:id="528"/>
    <w:bookmarkEnd w:id="529"/>
    <w:bookmarkEnd w:id="530"/>
    <w:bookmarkEnd w:id="531"/>
    <w:bookmarkEnd w:id="532"/>
    <w:p w14:paraId="5434FB57">
      <w:pPr>
        <w:pageBreakBefore w:val="0"/>
        <w:widowControl w:val="0"/>
        <w:kinsoku/>
        <w:wordWrap/>
        <w:overflowPunct/>
        <w:topLinePunct w:val="0"/>
        <w:bidi w:val="0"/>
        <w:snapToGrid/>
        <w:spacing w:before="0" w:beforeLines="0" w:after="0" w:afterLines="0" w:line="360" w:lineRule="auto"/>
        <w:outlineLvl w:val="9"/>
        <w:rPr>
          <w:rFonts w:hint="eastAsia" w:ascii="仿宋" w:hAnsi="仿宋" w:eastAsia="仿宋" w:cs="仿宋"/>
          <w:b w:val="0"/>
          <w:color w:val="000000"/>
          <w:sz w:val="28"/>
          <w:szCs w:val="28"/>
        </w:rPr>
      </w:pPr>
      <w:bookmarkStart w:id="548" w:name="_Toc351203651"/>
      <w:r>
        <w:rPr>
          <w:rFonts w:hint="eastAsia" w:ascii="仿宋" w:hAnsi="仿宋" w:eastAsia="仿宋" w:cs="仿宋"/>
          <w:b w:val="0"/>
          <w:color w:val="000000"/>
          <w:sz w:val="28"/>
          <w:szCs w:val="28"/>
        </w:rPr>
        <w:t>20. 争议解决</w:t>
      </w:r>
      <w:bookmarkEnd w:id="548"/>
    </w:p>
    <w:bookmarkEnd w:id="533"/>
    <w:bookmarkEnd w:id="534"/>
    <w:p w14:paraId="15B136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 争</w:t>
      </w:r>
      <w:bookmarkEnd w:id="535"/>
      <w:r>
        <w:rPr>
          <w:rFonts w:hint="eastAsia" w:ascii="仿宋" w:hAnsi="仿宋" w:eastAsia="仿宋" w:cs="仿宋"/>
          <w:color w:val="000000"/>
          <w:sz w:val="28"/>
          <w:szCs w:val="28"/>
        </w:rPr>
        <w:t>议评审</w:t>
      </w:r>
    </w:p>
    <w:p w14:paraId="7B1186E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合同当事人是否同意将工程争议提交争议评审小组决定：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228FEA1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20.3.1 争议评审小组的确定</w:t>
      </w:r>
    </w:p>
    <w:p w14:paraId="66AE3EB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争议评审小组成员的确定：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651D91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选定争议评审员的期限：</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1C76A34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争议评审小组成员的报酬承担方式：</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977156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其他事项的约定：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30B8DA0">
      <w:pPr>
        <w:pageBreakBefore w:val="0"/>
        <w:widowControl w:val="0"/>
        <w:kinsoku/>
        <w:wordWrap/>
        <w:overflowPunct/>
        <w:topLinePunct w:val="0"/>
        <w:autoSpaceDE w:val="0"/>
        <w:autoSpaceDN w:val="0"/>
        <w:bidi w:val="0"/>
        <w:adjustRightInd w:val="0"/>
        <w:snapToGrid/>
        <w:spacing w:line="360" w:lineRule="auto"/>
        <w:ind w:firstLine="560" w:firstLineChars="200"/>
        <w:jc w:val="left"/>
        <w:outlineLvl w:val="9"/>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20.3.2 争议评审小组的决定</w:t>
      </w:r>
    </w:p>
    <w:p w14:paraId="663FED5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合同当事人关于本项的约定：</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00BCFE6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20.4仲裁或诉讼</w:t>
      </w:r>
      <w:bookmarkEnd w:id="536"/>
    </w:p>
    <w:p w14:paraId="7A5533B9">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因合同及合同有关事项发生的争议，按下列第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6DC16BF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3605E45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bookmarkEnd w:id="537"/>
      <w:bookmarkEnd w:id="538"/>
      <w:bookmarkEnd w:id="539"/>
      <w:bookmarkEnd w:id="540"/>
      <w:bookmarkEnd w:id="541"/>
      <w:bookmarkEnd w:id="542"/>
    </w:p>
    <w:p w14:paraId="372AE8B7">
      <w:pPr>
        <w:pageBreakBefore w:val="0"/>
        <w:widowControl w:val="0"/>
        <w:kinsoku/>
        <w:wordWrap/>
        <w:overflowPunct/>
        <w:topLinePunct w:val="0"/>
        <w:bidi w:val="0"/>
        <w:snapToGrid/>
        <w:spacing w:line="360" w:lineRule="auto"/>
        <w:jc w:val="left"/>
        <w:outlineLvl w:val="9"/>
        <w:rPr>
          <w:rFonts w:hint="eastAsia" w:ascii="仿宋" w:hAnsi="仿宋" w:eastAsia="仿宋" w:cs="仿宋"/>
          <w:b/>
          <w:color w:val="000000"/>
          <w:sz w:val="28"/>
          <w:szCs w:val="28"/>
        </w:rPr>
      </w:pPr>
      <w:r>
        <w:rPr>
          <w:rFonts w:hint="eastAsia" w:ascii="仿宋" w:hAnsi="仿宋" w:eastAsia="仿宋" w:cs="仿宋"/>
          <w:color w:val="000000"/>
          <w:sz w:val="28"/>
          <w:szCs w:val="28"/>
        </w:rPr>
        <w:br w:type="page"/>
      </w:r>
      <w:bookmarkStart w:id="549" w:name="_Toc351203652"/>
      <w:r>
        <w:rPr>
          <w:rFonts w:hint="eastAsia" w:ascii="仿宋" w:hAnsi="仿宋" w:eastAsia="仿宋" w:cs="仿宋"/>
          <w:b/>
          <w:color w:val="000000"/>
          <w:sz w:val="28"/>
          <w:szCs w:val="28"/>
        </w:rPr>
        <w:t>附件</w:t>
      </w:r>
      <w:bookmarkEnd w:id="549"/>
    </w:p>
    <w:p w14:paraId="4DB13BA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协议书附件：</w:t>
      </w:r>
    </w:p>
    <w:p w14:paraId="1E74249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附件1：承包人承揽工程项目一览表</w:t>
      </w:r>
    </w:p>
    <w:p w14:paraId="669FD8B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专用合同条款附件：</w:t>
      </w:r>
    </w:p>
    <w:p w14:paraId="3E477F8F">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附件2：发包人供应材料设备一览表</w:t>
      </w:r>
    </w:p>
    <w:p w14:paraId="24EC376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附件3：工程质量保修书</w:t>
      </w:r>
    </w:p>
    <w:p w14:paraId="6808FCE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附件4：主要建设工程文件目录</w:t>
      </w:r>
    </w:p>
    <w:p w14:paraId="1586619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附件5：承包人用于本工程施工的机械设备表</w:t>
      </w:r>
    </w:p>
    <w:p w14:paraId="196F3A7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附件6：承包人主要施工管理人员表</w:t>
      </w:r>
    </w:p>
    <w:p w14:paraId="37D6CCE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附件7：分包人主要施工管理人员表</w:t>
      </w:r>
    </w:p>
    <w:p w14:paraId="7F3DC73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附件8：履约担保格式</w:t>
      </w:r>
    </w:p>
    <w:p w14:paraId="5B3435BE">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附件9：预付款担保格式</w:t>
      </w:r>
    </w:p>
    <w:p w14:paraId="6B9BBAE2">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附件10：支付担保格式</w:t>
      </w:r>
    </w:p>
    <w:p w14:paraId="135844D4">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sectPr>
          <w:footerReference r:id="rId8" w:type="first"/>
          <w:pgSz w:w="11906" w:h="16838"/>
          <w:pgMar w:top="1418" w:right="1417" w:bottom="1418" w:left="1417" w:header="851" w:footer="992" w:gutter="0"/>
          <w:pgNumType w:fmt="decimal"/>
          <w:cols w:space="720" w:num="1"/>
          <w:titlePg/>
          <w:docGrid w:type="lines" w:linePitch="312" w:charSpace="0"/>
        </w:sectPr>
      </w:pPr>
      <w:r>
        <w:rPr>
          <w:rFonts w:hint="eastAsia" w:ascii="仿宋" w:hAnsi="仿宋" w:eastAsia="仿宋" w:cs="仿宋"/>
          <w:color w:val="000000"/>
          <w:sz w:val="28"/>
          <w:szCs w:val="28"/>
        </w:rPr>
        <w:t>附件11：暂估价一览表</w:t>
      </w:r>
    </w:p>
    <w:p w14:paraId="6B6CA20A">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附件1：</w:t>
      </w:r>
    </w:p>
    <w:p w14:paraId="0938A3E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承包人承揽工程项目一览表</w:t>
      </w:r>
    </w:p>
    <w:tbl>
      <w:tblPr>
        <w:tblStyle w:val="18"/>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3FF0D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3F16A19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单位工程名称</w:t>
            </w:r>
          </w:p>
        </w:tc>
        <w:tc>
          <w:tcPr>
            <w:tcW w:w="1843" w:type="dxa"/>
            <w:tcBorders>
              <w:top w:val="single" w:color="auto" w:sz="12" w:space="0"/>
              <w:bottom w:val="double" w:color="auto" w:sz="6" w:space="0"/>
            </w:tcBorders>
            <w:noWrap w:val="0"/>
            <w:vAlign w:val="center"/>
          </w:tcPr>
          <w:p w14:paraId="1ABEEF5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建设规模</w:t>
            </w:r>
          </w:p>
        </w:tc>
        <w:tc>
          <w:tcPr>
            <w:tcW w:w="1417" w:type="dxa"/>
            <w:tcBorders>
              <w:top w:val="single" w:color="auto" w:sz="12" w:space="0"/>
              <w:bottom w:val="double" w:color="auto" w:sz="6" w:space="0"/>
            </w:tcBorders>
            <w:noWrap w:val="0"/>
            <w:vAlign w:val="center"/>
          </w:tcPr>
          <w:p w14:paraId="4EA027B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建筑面积(平方米)</w:t>
            </w:r>
          </w:p>
        </w:tc>
        <w:tc>
          <w:tcPr>
            <w:tcW w:w="2410" w:type="dxa"/>
            <w:tcBorders>
              <w:top w:val="single" w:color="auto" w:sz="12" w:space="0"/>
              <w:bottom w:val="double" w:color="auto" w:sz="6" w:space="0"/>
            </w:tcBorders>
            <w:noWrap w:val="0"/>
            <w:vAlign w:val="center"/>
          </w:tcPr>
          <w:p w14:paraId="51D0429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结构形式</w:t>
            </w:r>
          </w:p>
        </w:tc>
        <w:tc>
          <w:tcPr>
            <w:tcW w:w="850" w:type="dxa"/>
            <w:tcBorders>
              <w:top w:val="single" w:color="auto" w:sz="12" w:space="0"/>
              <w:bottom w:val="double" w:color="auto" w:sz="6" w:space="0"/>
            </w:tcBorders>
            <w:noWrap w:val="0"/>
            <w:vAlign w:val="center"/>
          </w:tcPr>
          <w:p w14:paraId="69CE4AF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层数</w:t>
            </w:r>
          </w:p>
        </w:tc>
        <w:tc>
          <w:tcPr>
            <w:tcW w:w="1560" w:type="dxa"/>
            <w:tcBorders>
              <w:top w:val="single" w:color="auto" w:sz="12" w:space="0"/>
              <w:bottom w:val="double" w:color="auto" w:sz="6" w:space="0"/>
            </w:tcBorders>
            <w:noWrap w:val="0"/>
            <w:vAlign w:val="center"/>
          </w:tcPr>
          <w:p w14:paraId="0D88768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2126" w:type="dxa"/>
            <w:tcBorders>
              <w:top w:val="single" w:color="auto" w:sz="12" w:space="0"/>
              <w:bottom w:val="double" w:color="auto" w:sz="6" w:space="0"/>
            </w:tcBorders>
            <w:noWrap w:val="0"/>
            <w:vAlign w:val="center"/>
          </w:tcPr>
          <w:p w14:paraId="6C05D25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设备安装内容</w:t>
            </w:r>
          </w:p>
        </w:tc>
        <w:tc>
          <w:tcPr>
            <w:tcW w:w="1417" w:type="dxa"/>
            <w:tcBorders>
              <w:top w:val="single" w:color="auto" w:sz="12" w:space="0"/>
              <w:bottom w:val="double" w:color="auto" w:sz="6" w:space="0"/>
            </w:tcBorders>
            <w:noWrap w:val="0"/>
            <w:vAlign w:val="center"/>
          </w:tcPr>
          <w:p w14:paraId="29DF00E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合同价格（元）</w:t>
            </w:r>
          </w:p>
        </w:tc>
        <w:tc>
          <w:tcPr>
            <w:tcW w:w="851" w:type="dxa"/>
            <w:tcBorders>
              <w:top w:val="single" w:color="auto" w:sz="12" w:space="0"/>
              <w:bottom w:val="double" w:color="auto" w:sz="6" w:space="0"/>
            </w:tcBorders>
            <w:noWrap w:val="0"/>
            <w:vAlign w:val="center"/>
          </w:tcPr>
          <w:p w14:paraId="17D7E07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开工日期</w:t>
            </w:r>
          </w:p>
        </w:tc>
        <w:tc>
          <w:tcPr>
            <w:tcW w:w="850" w:type="dxa"/>
            <w:tcBorders>
              <w:top w:val="single" w:color="auto" w:sz="12" w:space="0"/>
              <w:bottom w:val="double" w:color="auto" w:sz="6" w:space="0"/>
            </w:tcBorders>
            <w:noWrap w:val="0"/>
            <w:vAlign w:val="center"/>
          </w:tcPr>
          <w:p w14:paraId="5A3A870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竣工日期</w:t>
            </w:r>
          </w:p>
        </w:tc>
      </w:tr>
      <w:tr w14:paraId="0011B7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772177A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double" w:color="auto" w:sz="6" w:space="0"/>
              <w:bottom w:val="single" w:color="auto" w:sz="6" w:space="0"/>
            </w:tcBorders>
            <w:noWrap w:val="0"/>
            <w:vAlign w:val="center"/>
          </w:tcPr>
          <w:p w14:paraId="6EBF31B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35CBB4D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double" w:color="auto" w:sz="6" w:space="0"/>
              <w:bottom w:val="single" w:color="auto" w:sz="6" w:space="0"/>
            </w:tcBorders>
            <w:noWrap w:val="0"/>
            <w:vAlign w:val="center"/>
          </w:tcPr>
          <w:p w14:paraId="09E7FB3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2821138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double" w:color="auto" w:sz="6" w:space="0"/>
              <w:bottom w:val="single" w:color="auto" w:sz="6" w:space="0"/>
            </w:tcBorders>
            <w:noWrap w:val="0"/>
            <w:vAlign w:val="center"/>
          </w:tcPr>
          <w:p w14:paraId="12EC2ED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double" w:color="auto" w:sz="6" w:space="0"/>
              <w:bottom w:val="single" w:color="auto" w:sz="6" w:space="0"/>
            </w:tcBorders>
            <w:noWrap w:val="0"/>
            <w:vAlign w:val="center"/>
          </w:tcPr>
          <w:p w14:paraId="61E406C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double" w:color="auto" w:sz="6" w:space="0"/>
              <w:bottom w:val="single" w:color="auto" w:sz="6" w:space="0"/>
            </w:tcBorders>
            <w:noWrap w:val="0"/>
            <w:vAlign w:val="center"/>
          </w:tcPr>
          <w:p w14:paraId="4A5C9AD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center"/>
          </w:tcPr>
          <w:p w14:paraId="7EB5AD4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6CECC2B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5F63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4ED252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1B6F100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0DE4C51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2B76379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F12283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3AD4FF9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5A41292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2D2F39A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782088D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15814C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1862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31B760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25E80AC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2A82283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449646F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464DA75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61661BF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15C3F40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744A282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34FEA42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323B0DD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34EC5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46A477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7A32CF0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701CEEF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0053855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43EA23B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7B3D111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3144C2D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56DA971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4E604ED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E5A94E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D104F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91EBBB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4707297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2474A61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5C41E11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69C6C1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5E0FF1C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7E78F14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572B455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675B3A6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09BC970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3CE2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4638D3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56052DA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6BBBA8F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09D1800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1F04438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6C41B00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6C79869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65B76E9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06593D7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59914B2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ACEE6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027677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tcBorders>
              <w:top w:val="nil"/>
            </w:tcBorders>
            <w:noWrap w:val="0"/>
            <w:vAlign w:val="center"/>
          </w:tcPr>
          <w:p w14:paraId="6A65BDE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1093C8A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tcBorders>
              <w:top w:val="nil"/>
            </w:tcBorders>
            <w:noWrap w:val="0"/>
            <w:vAlign w:val="center"/>
          </w:tcPr>
          <w:p w14:paraId="1C5430F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7514061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tcBorders>
              <w:top w:val="nil"/>
            </w:tcBorders>
            <w:noWrap w:val="0"/>
            <w:vAlign w:val="center"/>
          </w:tcPr>
          <w:p w14:paraId="3CAB125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tcBorders>
              <w:top w:val="nil"/>
            </w:tcBorders>
            <w:noWrap w:val="0"/>
            <w:vAlign w:val="center"/>
          </w:tcPr>
          <w:p w14:paraId="05A95FC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tcBorders>
              <w:top w:val="nil"/>
            </w:tcBorders>
            <w:noWrap w:val="0"/>
            <w:vAlign w:val="center"/>
          </w:tcPr>
          <w:p w14:paraId="3CD3E77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center"/>
          </w:tcPr>
          <w:p w14:paraId="05261FE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266E458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F914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F81470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843" w:type="dxa"/>
            <w:noWrap w:val="0"/>
            <w:vAlign w:val="center"/>
          </w:tcPr>
          <w:p w14:paraId="23C82D4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77E4453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410" w:type="dxa"/>
            <w:noWrap w:val="0"/>
            <w:vAlign w:val="center"/>
          </w:tcPr>
          <w:p w14:paraId="1662479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640D93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560" w:type="dxa"/>
            <w:noWrap w:val="0"/>
            <w:vAlign w:val="center"/>
          </w:tcPr>
          <w:p w14:paraId="121D09C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2126" w:type="dxa"/>
            <w:noWrap w:val="0"/>
            <w:vAlign w:val="center"/>
          </w:tcPr>
          <w:p w14:paraId="3A31F83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7" w:type="dxa"/>
            <w:noWrap w:val="0"/>
            <w:vAlign w:val="center"/>
          </w:tcPr>
          <w:p w14:paraId="1849AAF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center"/>
          </w:tcPr>
          <w:p w14:paraId="3D5BFD3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2B5EBA9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73E1C1CB">
      <w:pPr>
        <w:pageBreakBefore w:val="0"/>
        <w:widowControl w:val="0"/>
        <w:kinsoku/>
        <w:wordWrap/>
        <w:overflowPunct/>
        <w:topLinePunct w:val="0"/>
        <w:bidi w:val="0"/>
        <w:snapToGrid/>
        <w:spacing w:line="360" w:lineRule="auto"/>
        <w:outlineLvl w:val="9"/>
        <w:rPr>
          <w:rFonts w:hint="eastAsia" w:ascii="仿宋" w:hAnsi="仿宋" w:eastAsia="仿宋" w:cs="仿宋"/>
          <w:b/>
          <w:color w:val="000000"/>
          <w:sz w:val="28"/>
          <w:szCs w:val="28"/>
        </w:rPr>
        <w:sectPr>
          <w:pgSz w:w="16838" w:h="11906" w:orient="landscape"/>
          <w:pgMar w:top="1554" w:right="1418" w:bottom="1531" w:left="1418" w:header="851" w:footer="992" w:gutter="0"/>
          <w:pgNumType w:fmt="decimal"/>
          <w:cols w:space="720" w:num="1"/>
          <w:titlePg/>
          <w:docGrid w:type="linesAndChars" w:linePitch="312" w:charSpace="0"/>
        </w:sectPr>
      </w:pPr>
    </w:p>
    <w:p w14:paraId="4F81CB1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0" w:name="_Toc296346726"/>
      <w:bookmarkStart w:id="551" w:name="_Toc296944564"/>
      <w:bookmarkStart w:id="552" w:name="_Toc296503225"/>
      <w:bookmarkStart w:id="553" w:name="_Toc296891053"/>
      <w:bookmarkStart w:id="554" w:name="_Toc296347224"/>
      <w:bookmarkStart w:id="555" w:name="_Toc267261692"/>
      <w:bookmarkStart w:id="556" w:name="_Toc296891265"/>
      <w:r>
        <w:rPr>
          <w:rFonts w:hint="eastAsia" w:ascii="仿宋" w:hAnsi="仿宋" w:eastAsia="仿宋" w:cs="仿宋"/>
          <w:color w:val="000000"/>
          <w:sz w:val="28"/>
          <w:szCs w:val="28"/>
        </w:rPr>
        <w:t>件2：</w:t>
      </w:r>
    </w:p>
    <w:bookmarkEnd w:id="550"/>
    <w:bookmarkEnd w:id="551"/>
    <w:bookmarkEnd w:id="552"/>
    <w:bookmarkEnd w:id="553"/>
    <w:bookmarkEnd w:id="554"/>
    <w:bookmarkEnd w:id="555"/>
    <w:bookmarkEnd w:id="556"/>
    <w:p w14:paraId="160E1E1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发包人供应材料设备一览表</w:t>
      </w:r>
    </w:p>
    <w:tbl>
      <w:tblPr>
        <w:tblStyle w:val="18"/>
        <w:tblW w:w="907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95"/>
        <w:gridCol w:w="1350"/>
        <w:gridCol w:w="929"/>
        <w:gridCol w:w="940"/>
        <w:gridCol w:w="796"/>
        <w:gridCol w:w="915"/>
        <w:gridCol w:w="795"/>
        <w:gridCol w:w="840"/>
        <w:gridCol w:w="900"/>
        <w:gridCol w:w="810"/>
      </w:tblGrid>
      <w:tr w14:paraId="0FF3B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95" w:type="dxa"/>
            <w:tcBorders>
              <w:top w:val="single" w:color="auto" w:sz="12" w:space="0"/>
              <w:bottom w:val="double" w:color="auto" w:sz="6" w:space="0"/>
            </w:tcBorders>
            <w:noWrap w:val="0"/>
            <w:vAlign w:val="center"/>
          </w:tcPr>
          <w:p w14:paraId="55F8F70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350" w:type="dxa"/>
            <w:tcBorders>
              <w:top w:val="single" w:color="auto" w:sz="12" w:space="0"/>
              <w:bottom w:val="double" w:color="auto" w:sz="6" w:space="0"/>
            </w:tcBorders>
            <w:noWrap w:val="0"/>
            <w:vAlign w:val="center"/>
          </w:tcPr>
          <w:p w14:paraId="75B4E9D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 xml:space="preserve">  材料、</w:t>
            </w:r>
          </w:p>
          <w:p w14:paraId="72CB11E4">
            <w:pPr>
              <w:pStyle w:val="9"/>
              <w:keepNext/>
              <w:pageBreakBefore w:val="0"/>
              <w:widowControl w:val="0"/>
              <w:kinsoku/>
              <w:wordWrap/>
              <w:overflowPunct/>
              <w:topLinePunct w:val="0"/>
              <w:bidi w:val="0"/>
              <w:snapToGrid/>
              <w:spacing w:after="0" w:afterLines="0" w:line="360" w:lineRule="auto"/>
              <w:ind w:left="0" w:leftChars="0" w:right="63"/>
              <w:jc w:val="both"/>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设备品种</w:t>
            </w:r>
          </w:p>
        </w:tc>
        <w:tc>
          <w:tcPr>
            <w:tcW w:w="929" w:type="dxa"/>
            <w:tcBorders>
              <w:top w:val="single" w:color="auto" w:sz="12" w:space="0"/>
              <w:bottom w:val="double" w:color="auto" w:sz="6" w:space="0"/>
            </w:tcBorders>
            <w:noWrap w:val="0"/>
            <w:vAlign w:val="center"/>
          </w:tcPr>
          <w:p w14:paraId="0B3639D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940" w:type="dxa"/>
            <w:tcBorders>
              <w:top w:val="single" w:color="auto" w:sz="12" w:space="0"/>
              <w:bottom w:val="double" w:color="auto" w:sz="6" w:space="0"/>
            </w:tcBorders>
            <w:noWrap w:val="0"/>
            <w:vAlign w:val="center"/>
          </w:tcPr>
          <w:p w14:paraId="3AE5B41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96" w:type="dxa"/>
            <w:tcBorders>
              <w:top w:val="single" w:color="auto" w:sz="12" w:space="0"/>
              <w:bottom w:val="double" w:color="auto" w:sz="6" w:space="0"/>
            </w:tcBorders>
            <w:noWrap w:val="0"/>
            <w:vAlign w:val="center"/>
          </w:tcPr>
          <w:p w14:paraId="56E2C8C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915" w:type="dxa"/>
            <w:tcBorders>
              <w:top w:val="single" w:color="auto" w:sz="12" w:space="0"/>
              <w:bottom w:val="double" w:color="auto" w:sz="6" w:space="0"/>
            </w:tcBorders>
            <w:noWrap w:val="0"/>
            <w:vAlign w:val="center"/>
          </w:tcPr>
          <w:p w14:paraId="2E7725E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795" w:type="dxa"/>
            <w:tcBorders>
              <w:top w:val="single" w:color="auto" w:sz="12" w:space="0"/>
              <w:bottom w:val="double" w:color="auto" w:sz="6" w:space="0"/>
            </w:tcBorders>
            <w:noWrap w:val="0"/>
            <w:vAlign w:val="center"/>
          </w:tcPr>
          <w:p w14:paraId="53A88AA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质量等级</w:t>
            </w:r>
          </w:p>
        </w:tc>
        <w:tc>
          <w:tcPr>
            <w:tcW w:w="840" w:type="dxa"/>
            <w:tcBorders>
              <w:top w:val="single" w:color="auto" w:sz="12" w:space="0"/>
              <w:bottom w:val="double" w:color="auto" w:sz="6" w:space="0"/>
            </w:tcBorders>
            <w:noWrap w:val="0"/>
            <w:vAlign w:val="center"/>
          </w:tcPr>
          <w:p w14:paraId="16B52FB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供应时间</w:t>
            </w:r>
          </w:p>
        </w:tc>
        <w:tc>
          <w:tcPr>
            <w:tcW w:w="900" w:type="dxa"/>
            <w:tcBorders>
              <w:top w:val="single" w:color="auto" w:sz="12" w:space="0"/>
              <w:bottom w:val="double" w:color="auto" w:sz="6" w:space="0"/>
            </w:tcBorders>
            <w:noWrap w:val="0"/>
            <w:vAlign w:val="center"/>
          </w:tcPr>
          <w:p w14:paraId="459A73F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送达地点</w:t>
            </w:r>
          </w:p>
        </w:tc>
        <w:tc>
          <w:tcPr>
            <w:tcW w:w="810" w:type="dxa"/>
            <w:tcBorders>
              <w:top w:val="single" w:color="auto" w:sz="12" w:space="0"/>
              <w:bottom w:val="double" w:color="auto" w:sz="6" w:space="0"/>
            </w:tcBorders>
            <w:noWrap w:val="0"/>
            <w:vAlign w:val="center"/>
          </w:tcPr>
          <w:p w14:paraId="05137C0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64E540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double" w:color="auto" w:sz="6" w:space="0"/>
              <w:bottom w:val="single" w:color="auto" w:sz="6" w:space="0"/>
            </w:tcBorders>
            <w:noWrap w:val="0"/>
            <w:vAlign w:val="center"/>
          </w:tcPr>
          <w:p w14:paraId="51AB201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double" w:color="auto" w:sz="6" w:space="0"/>
              <w:bottom w:val="single" w:color="auto" w:sz="6" w:space="0"/>
            </w:tcBorders>
            <w:noWrap w:val="0"/>
            <w:vAlign w:val="center"/>
          </w:tcPr>
          <w:p w14:paraId="2940136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double" w:color="auto" w:sz="6" w:space="0"/>
              <w:bottom w:val="single" w:color="auto" w:sz="6" w:space="0"/>
            </w:tcBorders>
            <w:noWrap w:val="0"/>
            <w:vAlign w:val="center"/>
          </w:tcPr>
          <w:p w14:paraId="13C328A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double" w:color="auto" w:sz="6" w:space="0"/>
              <w:bottom w:val="single" w:color="auto" w:sz="6" w:space="0"/>
            </w:tcBorders>
            <w:noWrap w:val="0"/>
            <w:vAlign w:val="center"/>
          </w:tcPr>
          <w:p w14:paraId="63C7920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double" w:color="auto" w:sz="6" w:space="0"/>
              <w:bottom w:val="single" w:color="auto" w:sz="6" w:space="0"/>
            </w:tcBorders>
            <w:noWrap w:val="0"/>
            <w:vAlign w:val="center"/>
          </w:tcPr>
          <w:p w14:paraId="2856569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double" w:color="auto" w:sz="6" w:space="0"/>
              <w:bottom w:val="single" w:color="auto" w:sz="6" w:space="0"/>
            </w:tcBorders>
            <w:noWrap w:val="0"/>
            <w:vAlign w:val="center"/>
          </w:tcPr>
          <w:p w14:paraId="53DC60F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double" w:color="auto" w:sz="6" w:space="0"/>
              <w:bottom w:val="single" w:color="auto" w:sz="6" w:space="0"/>
            </w:tcBorders>
            <w:noWrap w:val="0"/>
            <w:vAlign w:val="center"/>
          </w:tcPr>
          <w:p w14:paraId="018BC39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double" w:color="auto" w:sz="6" w:space="0"/>
              <w:bottom w:val="single" w:color="auto" w:sz="6" w:space="0"/>
            </w:tcBorders>
            <w:noWrap w:val="0"/>
            <w:vAlign w:val="center"/>
          </w:tcPr>
          <w:p w14:paraId="1DA609F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double" w:color="auto" w:sz="6" w:space="0"/>
              <w:bottom w:val="single" w:color="auto" w:sz="6" w:space="0"/>
            </w:tcBorders>
            <w:noWrap w:val="0"/>
            <w:vAlign w:val="center"/>
          </w:tcPr>
          <w:p w14:paraId="1D3BA95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double" w:color="auto" w:sz="6" w:space="0"/>
              <w:bottom w:val="single" w:color="auto" w:sz="6" w:space="0"/>
            </w:tcBorders>
            <w:noWrap w:val="0"/>
            <w:vAlign w:val="center"/>
          </w:tcPr>
          <w:p w14:paraId="4CD0CA0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5B95A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tcBorders>
              <w:top w:val="nil"/>
            </w:tcBorders>
            <w:noWrap w:val="0"/>
            <w:vAlign w:val="center"/>
          </w:tcPr>
          <w:p w14:paraId="67EFC5E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tcBorders>
              <w:top w:val="nil"/>
            </w:tcBorders>
            <w:noWrap w:val="0"/>
            <w:vAlign w:val="center"/>
          </w:tcPr>
          <w:p w14:paraId="0D9829A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tcBorders>
              <w:top w:val="nil"/>
            </w:tcBorders>
            <w:noWrap w:val="0"/>
            <w:vAlign w:val="center"/>
          </w:tcPr>
          <w:p w14:paraId="5DF9714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tcBorders>
              <w:top w:val="nil"/>
            </w:tcBorders>
            <w:noWrap w:val="0"/>
            <w:vAlign w:val="center"/>
          </w:tcPr>
          <w:p w14:paraId="0BD2DDD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tcBorders>
              <w:top w:val="nil"/>
            </w:tcBorders>
            <w:noWrap w:val="0"/>
            <w:vAlign w:val="center"/>
          </w:tcPr>
          <w:p w14:paraId="6E2F9AE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tcBorders>
              <w:top w:val="nil"/>
            </w:tcBorders>
            <w:noWrap w:val="0"/>
            <w:vAlign w:val="center"/>
          </w:tcPr>
          <w:p w14:paraId="05146DA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tcBorders>
              <w:top w:val="nil"/>
            </w:tcBorders>
            <w:noWrap w:val="0"/>
            <w:vAlign w:val="center"/>
          </w:tcPr>
          <w:p w14:paraId="66BB8AC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tcBorders>
              <w:top w:val="nil"/>
            </w:tcBorders>
            <w:noWrap w:val="0"/>
            <w:vAlign w:val="center"/>
          </w:tcPr>
          <w:p w14:paraId="320F2F1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tcBorders>
              <w:top w:val="nil"/>
            </w:tcBorders>
            <w:noWrap w:val="0"/>
            <w:vAlign w:val="center"/>
          </w:tcPr>
          <w:p w14:paraId="799457C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tcBorders>
              <w:top w:val="nil"/>
            </w:tcBorders>
            <w:noWrap w:val="0"/>
            <w:vAlign w:val="center"/>
          </w:tcPr>
          <w:p w14:paraId="7B3A5BF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9809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038C5D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0FBAFAB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38F279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6E6E568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4015CCE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7DFACAF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4F08BF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6D48F6B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00E1455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46AF85F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195E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03AD56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3593E1C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1A2FDBF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2E96A04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58AA606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2F8D45E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0AB6D00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58C0671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5F4E3B3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4D17498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76D14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A80AEC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6AA53E7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6956CCE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4D938D7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79C3FAD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0AF6D07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1496DE1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2F29918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657805A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588F2EE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7E53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1077BB8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01C0969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40F1482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1B1947F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1749E66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0909ABF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4BE37DE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1C25177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3D73C62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07ECD8E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F2D62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44E41D4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0" w:type="dxa"/>
            <w:noWrap w:val="0"/>
            <w:vAlign w:val="center"/>
          </w:tcPr>
          <w:p w14:paraId="73A91B1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9" w:type="dxa"/>
            <w:noWrap w:val="0"/>
            <w:vAlign w:val="center"/>
          </w:tcPr>
          <w:p w14:paraId="213B40C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40" w:type="dxa"/>
            <w:noWrap w:val="0"/>
            <w:vAlign w:val="center"/>
          </w:tcPr>
          <w:p w14:paraId="722F64D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6" w:type="dxa"/>
            <w:noWrap w:val="0"/>
            <w:vAlign w:val="center"/>
          </w:tcPr>
          <w:p w14:paraId="3A28794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15" w:type="dxa"/>
            <w:noWrap w:val="0"/>
            <w:vAlign w:val="center"/>
          </w:tcPr>
          <w:p w14:paraId="646877A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95" w:type="dxa"/>
            <w:noWrap w:val="0"/>
            <w:vAlign w:val="center"/>
          </w:tcPr>
          <w:p w14:paraId="295244F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40" w:type="dxa"/>
            <w:noWrap w:val="0"/>
            <w:vAlign w:val="center"/>
          </w:tcPr>
          <w:p w14:paraId="008A8F0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00" w:type="dxa"/>
            <w:noWrap w:val="0"/>
            <w:vAlign w:val="center"/>
          </w:tcPr>
          <w:p w14:paraId="6C98C46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10" w:type="dxa"/>
            <w:noWrap w:val="0"/>
            <w:vAlign w:val="center"/>
          </w:tcPr>
          <w:p w14:paraId="5E8AA83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BDB2E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4BAF481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3E31CFA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451246F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442640C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5849638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5557DBE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08EA25E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154E83F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2808FAE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3866D54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5BF7E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30FE359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114A939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3061BFA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6D1BAC2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2780EC4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4949E53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7214057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5FC30FA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1D664BB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18AF61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52711C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52EEB61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6E16DDB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836E48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6177BC6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6BC87A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0E46D9D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55E202B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5118040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4073850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19B5AAA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694E9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4E72A49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A7D0B5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7945E53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3FB024C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291130A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11D172A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3FCF45B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3C10A52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446DC21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27025F0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73B12D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03447411">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07279BD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956FB3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9B620A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2433343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3DE2143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4DCC6A2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72B0BB9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468CDD5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1D08F8E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35B8EF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70DD86D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4C8C79E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51F4F6F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054D5B0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467DF56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7B239DF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633E26A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1415E45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5669476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4E31BCB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2D4790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6115D93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529C0A9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FD6FD5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0F82A86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7D9D2A94">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0C0AA73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68917CC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721983A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051DFCE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7D7A27BB">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r w14:paraId="18B0EE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95" w:type="dxa"/>
            <w:noWrap w:val="0"/>
            <w:vAlign w:val="center"/>
          </w:tcPr>
          <w:p w14:paraId="2E207B7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1350" w:type="dxa"/>
            <w:noWrap w:val="0"/>
            <w:vAlign w:val="center"/>
          </w:tcPr>
          <w:p w14:paraId="27148B6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29" w:type="dxa"/>
            <w:noWrap w:val="0"/>
            <w:vAlign w:val="center"/>
          </w:tcPr>
          <w:p w14:paraId="0E3FB7A9">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40" w:type="dxa"/>
            <w:noWrap w:val="0"/>
            <w:vAlign w:val="center"/>
          </w:tcPr>
          <w:p w14:paraId="2F77CBE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6" w:type="dxa"/>
            <w:noWrap w:val="0"/>
            <w:vAlign w:val="center"/>
          </w:tcPr>
          <w:p w14:paraId="337AB05E">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15" w:type="dxa"/>
            <w:noWrap w:val="0"/>
            <w:vAlign w:val="center"/>
          </w:tcPr>
          <w:p w14:paraId="5C64CE88">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795" w:type="dxa"/>
            <w:noWrap w:val="0"/>
            <w:vAlign w:val="center"/>
          </w:tcPr>
          <w:p w14:paraId="75ABBF3F">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40" w:type="dxa"/>
            <w:noWrap w:val="0"/>
            <w:vAlign w:val="center"/>
          </w:tcPr>
          <w:p w14:paraId="6E84EC2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900" w:type="dxa"/>
            <w:noWrap w:val="0"/>
            <w:vAlign w:val="center"/>
          </w:tcPr>
          <w:p w14:paraId="6991EF6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c>
          <w:tcPr>
            <w:tcW w:w="810" w:type="dxa"/>
            <w:noWrap w:val="0"/>
            <w:vAlign w:val="center"/>
          </w:tcPr>
          <w:p w14:paraId="7BD677D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p>
        </w:tc>
      </w:tr>
    </w:tbl>
    <w:p w14:paraId="66C2BF7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lang w:eastAsia="zh-CN"/>
        </w:rPr>
      </w:pPr>
    </w:p>
    <w:p w14:paraId="1DF91660">
      <w:pPr>
        <w:pStyle w:val="5"/>
        <w:outlineLvl w:val="9"/>
        <w:rPr>
          <w:rFonts w:hint="eastAsia"/>
          <w:lang w:eastAsia="zh-CN"/>
        </w:rPr>
      </w:pPr>
    </w:p>
    <w:p w14:paraId="196DB628">
      <w:pPr>
        <w:pStyle w:val="5"/>
        <w:outlineLvl w:val="9"/>
        <w:rPr>
          <w:rFonts w:hint="eastAsia"/>
          <w:lang w:eastAsia="zh-CN"/>
        </w:rPr>
      </w:pPr>
    </w:p>
    <w:p w14:paraId="4E79FB0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57" w:name="_Toc267261693"/>
      <w:bookmarkStart w:id="558" w:name="_Toc296503226"/>
      <w:bookmarkStart w:id="559" w:name="_Toc296891266"/>
      <w:bookmarkStart w:id="560" w:name="_Toc296891054"/>
      <w:bookmarkStart w:id="561" w:name="_Toc296347225"/>
      <w:bookmarkStart w:id="562" w:name="_Toc296346727"/>
      <w:bookmarkStart w:id="563" w:name="_Toc296944565"/>
      <w:r>
        <w:rPr>
          <w:rFonts w:hint="eastAsia" w:ascii="仿宋" w:hAnsi="仿宋" w:eastAsia="仿宋" w:cs="仿宋"/>
          <w:color w:val="000000"/>
          <w:sz w:val="28"/>
          <w:szCs w:val="28"/>
        </w:rPr>
        <w:t>件3：</w:t>
      </w:r>
      <w:bookmarkEnd w:id="557"/>
      <w:bookmarkEnd w:id="558"/>
      <w:bookmarkEnd w:id="559"/>
      <w:bookmarkEnd w:id="560"/>
      <w:bookmarkEnd w:id="561"/>
      <w:bookmarkEnd w:id="562"/>
      <w:bookmarkEnd w:id="563"/>
      <w:r>
        <w:rPr>
          <w:rFonts w:hint="eastAsia" w:ascii="仿宋" w:hAnsi="仿宋" w:eastAsia="仿宋" w:cs="仿宋"/>
          <w:color w:val="000000"/>
          <w:sz w:val="28"/>
          <w:szCs w:val="28"/>
        </w:rPr>
        <w:t xml:space="preserve">    </w:t>
      </w:r>
    </w:p>
    <w:p w14:paraId="0DAA562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sectPr>
          <w:headerReference r:id="rId9" w:type="default"/>
          <w:pgSz w:w="11906" w:h="16838"/>
          <w:pgMar w:top="1418" w:right="1418" w:bottom="1418" w:left="1418" w:header="851" w:footer="992" w:gutter="0"/>
          <w:pgNumType w:fmt="decimal"/>
          <w:cols w:space="720" w:num="1"/>
          <w:docGrid w:type="lines" w:linePitch="312" w:charSpace="0"/>
        </w:sectPr>
      </w:pPr>
    </w:p>
    <w:p w14:paraId="4ABA9C8A">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w:t>
      </w:r>
    </w:p>
    <w:p w14:paraId="08E03828">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51F50D1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承包人（全称）：</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w:t>
      </w:r>
    </w:p>
    <w:p w14:paraId="4BB1BBE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129218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发包人和承包人根据《中华人民共和国建筑法》和《建设工程质量管理条例》，经协商一致就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（工程全称）签订工程质量保修书。</w:t>
      </w:r>
    </w:p>
    <w:p w14:paraId="58F67F0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一、工程质量保修范围和内容</w:t>
      </w:r>
    </w:p>
    <w:p w14:paraId="25C3EE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承包人在质量保修期内，按照有关法律规定和合同约定，承担工程质量保修责任。</w:t>
      </w:r>
    </w:p>
    <w:p w14:paraId="3558DA0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242FB8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555025D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　　</w:t>
      </w:r>
      <w:r>
        <w:rPr>
          <w:rFonts w:hint="eastAsia" w:ascii="仿宋" w:hAnsi="仿宋" w:eastAsia="仿宋" w:cs="仿宋"/>
          <w:color w:val="000000"/>
          <w:sz w:val="28"/>
          <w:szCs w:val="28"/>
        </w:rPr>
        <w:t>二、质量保修期</w:t>
      </w:r>
    </w:p>
    <w:p w14:paraId="26D999E1">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根据《建设工程质量管理条例》及有关规定，工程的质量保修期如下：</w:t>
      </w:r>
    </w:p>
    <w:p w14:paraId="6D3EEDA3">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color w:val="000000"/>
          <w:sz w:val="28"/>
          <w:szCs w:val="28"/>
        </w:rPr>
        <w:t>．</w:t>
      </w:r>
      <w:r>
        <w:rPr>
          <w:rFonts w:hint="eastAsia" w:ascii="仿宋" w:hAnsi="仿宋" w:eastAsia="仿宋" w:cs="仿宋"/>
          <w:sz w:val="28"/>
          <w:szCs w:val="28"/>
        </w:rPr>
        <w:t>地基基础工程和主体结构工程为设计文件规定的工程合理使用年限；</w:t>
      </w:r>
    </w:p>
    <w:p w14:paraId="433B0B8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屋面防水工程、有防水要求的卫生间、房间和外墙面的防渗     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40FDA7F5">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装修工程为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7A425260">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电气管线、给排水管道、设备安装工程为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66AB99F0">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w:t>
      </w:r>
      <w:r>
        <w:rPr>
          <w:rFonts w:hint="eastAsia" w:ascii="仿宋" w:hAnsi="仿宋" w:eastAsia="仿宋" w:cs="仿宋"/>
          <w:sz w:val="28"/>
          <w:szCs w:val="28"/>
        </w:rPr>
        <w:t>．</w:t>
      </w:r>
      <w:r>
        <w:rPr>
          <w:rFonts w:hint="eastAsia" w:ascii="仿宋" w:hAnsi="仿宋" w:eastAsia="仿宋" w:cs="仿宋"/>
          <w:color w:val="000000"/>
          <w:sz w:val="28"/>
          <w:szCs w:val="28"/>
        </w:rPr>
        <w:t>供热与供冷系统为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个采暖期、供冷期；</w:t>
      </w:r>
    </w:p>
    <w:p w14:paraId="625B839B">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w:t>
      </w:r>
      <w:r>
        <w:rPr>
          <w:rFonts w:hint="eastAsia" w:ascii="仿宋" w:hAnsi="仿宋" w:eastAsia="仿宋" w:cs="仿宋"/>
          <w:sz w:val="28"/>
          <w:szCs w:val="28"/>
        </w:rPr>
        <w:t>．</w:t>
      </w:r>
      <w:r>
        <w:rPr>
          <w:rFonts w:hint="eastAsia" w:ascii="仿宋" w:hAnsi="仿宋" w:eastAsia="仿宋" w:cs="仿宋"/>
          <w:color w:val="000000"/>
          <w:sz w:val="28"/>
          <w:szCs w:val="28"/>
        </w:rPr>
        <w:t>住宅小区内的给排水设施、道路等配套工程为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p>
    <w:p w14:paraId="1667B8A8">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7</w:t>
      </w:r>
      <w:r>
        <w:rPr>
          <w:rFonts w:hint="eastAsia" w:ascii="仿宋" w:hAnsi="仿宋" w:eastAsia="仿宋" w:cs="仿宋"/>
          <w:sz w:val="28"/>
          <w:szCs w:val="28"/>
        </w:rPr>
        <w:t>．</w:t>
      </w:r>
      <w:r>
        <w:rPr>
          <w:rFonts w:hint="eastAsia" w:ascii="仿宋" w:hAnsi="仿宋" w:eastAsia="仿宋" w:cs="仿宋"/>
          <w:color w:val="000000"/>
          <w:sz w:val="28"/>
          <w:szCs w:val="28"/>
        </w:rPr>
        <w:t>其他项目保修期限约定如下：</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4F527C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质量保修期自工程竣工验收合格之日起计算。</w:t>
      </w:r>
    </w:p>
    <w:p w14:paraId="0EB418D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三、缺陷责任期</w:t>
      </w:r>
    </w:p>
    <w:p w14:paraId="66339FBB">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工程缺陷责任期为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个月，缺陷责任期自工程通过竣工验收之日起计算。单位工程先于全部工程进行验收，单位工程缺陷责任期自单位工程验收合格之日起算。</w:t>
      </w:r>
    </w:p>
    <w:p w14:paraId="27FDAD4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缺陷责任期终止后，发包人应退还剩余的质量保证金。</w:t>
      </w:r>
    </w:p>
    <w:p w14:paraId="7A4DA23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四、质量保修责任</w:t>
      </w:r>
    </w:p>
    <w:p w14:paraId="6E921515">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w:t>
      </w:r>
      <w:r>
        <w:rPr>
          <w:rFonts w:hint="eastAsia" w:ascii="仿宋" w:hAnsi="仿宋" w:eastAsia="仿宋" w:cs="仿宋"/>
          <w:sz w:val="28"/>
          <w:szCs w:val="28"/>
        </w:rPr>
        <w:t>．</w:t>
      </w:r>
      <w:r>
        <w:rPr>
          <w:rFonts w:hint="eastAsia" w:ascii="仿宋" w:hAnsi="仿宋" w:eastAsia="仿宋" w:cs="仿宋"/>
          <w:color w:val="000000"/>
          <w:sz w:val="28"/>
          <w:szCs w:val="28"/>
        </w:rPr>
        <w:t>属于保修范围、内容的项目，承包人应当在接到保修通知之日起7天内派人保修。承包人不在约定期限内派人保修的，发包人可以委托他人修理。</w:t>
      </w:r>
    </w:p>
    <w:p w14:paraId="702EF463">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w:t>
      </w:r>
      <w:r>
        <w:rPr>
          <w:rFonts w:hint="eastAsia" w:ascii="仿宋" w:hAnsi="仿宋" w:eastAsia="仿宋" w:cs="仿宋"/>
          <w:sz w:val="28"/>
          <w:szCs w:val="28"/>
        </w:rPr>
        <w:t>．</w:t>
      </w:r>
      <w:r>
        <w:rPr>
          <w:rFonts w:hint="eastAsia" w:ascii="仿宋" w:hAnsi="仿宋" w:eastAsia="仿宋" w:cs="仿宋"/>
          <w:color w:val="000000"/>
          <w:sz w:val="28"/>
          <w:szCs w:val="28"/>
        </w:rPr>
        <w:t>发生紧急事故需抢修的，承包人在接到事故通知后，应当立即到达事故现场抢修。</w:t>
      </w:r>
    </w:p>
    <w:p w14:paraId="3526A9C1">
      <w:pPr>
        <w:pageBreakBefore w:val="0"/>
        <w:widowControl w:val="0"/>
        <w:kinsoku/>
        <w:wordWrap/>
        <w:overflowPunct/>
        <w:topLinePunct w:val="0"/>
        <w:bidi w:val="0"/>
        <w:snapToGrid/>
        <w:spacing w:line="360" w:lineRule="auto"/>
        <w:ind w:left="160" w:leftChars="50" w:firstLine="574" w:firstLineChars="205"/>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w:t>
      </w:r>
      <w:r>
        <w:rPr>
          <w:rFonts w:hint="eastAsia" w:ascii="仿宋" w:hAnsi="仿宋" w:eastAsia="仿宋" w:cs="仿宋"/>
          <w:sz w:val="28"/>
          <w:szCs w:val="28"/>
        </w:rPr>
        <w:t>．</w:t>
      </w:r>
      <w:r>
        <w:rPr>
          <w:rFonts w:hint="eastAsia" w:ascii="仿宋" w:hAnsi="仿宋" w:eastAsia="仿宋" w:cs="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0DFC1DC">
      <w:pPr>
        <w:pageBreakBefore w:val="0"/>
        <w:widowControl w:val="0"/>
        <w:kinsoku/>
        <w:wordWrap/>
        <w:overflowPunct/>
        <w:topLinePunct w:val="0"/>
        <w:bidi w:val="0"/>
        <w:snapToGrid/>
        <w:spacing w:line="360" w:lineRule="auto"/>
        <w:ind w:left="640" w:leftChars="200" w:firstLine="140" w:firstLineChars="5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w:t>
      </w:r>
      <w:r>
        <w:rPr>
          <w:rFonts w:hint="eastAsia" w:ascii="仿宋" w:hAnsi="仿宋" w:eastAsia="仿宋" w:cs="仿宋"/>
          <w:sz w:val="28"/>
          <w:szCs w:val="28"/>
        </w:rPr>
        <w:t>．</w:t>
      </w:r>
      <w:r>
        <w:rPr>
          <w:rFonts w:hint="eastAsia" w:ascii="仿宋" w:hAnsi="仿宋" w:eastAsia="仿宋" w:cs="仿宋"/>
          <w:color w:val="000000"/>
          <w:sz w:val="28"/>
          <w:szCs w:val="28"/>
        </w:rPr>
        <w:t>质量保修完成后，由发包人组织验收。</w:t>
      </w:r>
    </w:p>
    <w:p w14:paraId="59FEBF2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五、保修费用</w:t>
      </w:r>
    </w:p>
    <w:p w14:paraId="1C205D6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保修费用由造成质量缺陷的责任方承担。</w:t>
      </w:r>
    </w:p>
    <w:p w14:paraId="4DE9C456">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t>六</w:t>
      </w:r>
      <w:r>
        <w:rPr>
          <w:rFonts w:hint="eastAsia" w:ascii="仿宋" w:hAnsi="仿宋" w:eastAsia="仿宋" w:cs="仿宋"/>
          <w:color w:val="000000"/>
          <w:sz w:val="28"/>
          <w:szCs w:val="28"/>
        </w:rPr>
        <w:t>、双方约定的其他工程质量保修事项：</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7AC3FDD5">
      <w:pPr>
        <w:pageBreakBefore w:val="0"/>
        <w:widowControl w:val="0"/>
        <w:kinsoku/>
        <w:wordWrap/>
        <w:overflowPunct/>
        <w:topLinePunct w:val="0"/>
        <w:bidi w:val="0"/>
        <w:snapToGrid/>
        <w:spacing w:line="360" w:lineRule="auto"/>
        <w:ind w:firstLine="532" w:firstLineChars="19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工程质量保修书由发包人、承包人在工程竣工验收前共同签署，作为施工合同附件，其有效期限至保修期满。</w:t>
      </w:r>
    </w:p>
    <w:p w14:paraId="1D1F9FE5">
      <w:pPr>
        <w:pageBreakBefore w:val="0"/>
        <w:widowControl w:val="0"/>
        <w:kinsoku/>
        <w:wordWrap/>
        <w:overflowPunct/>
        <w:topLinePunct w:val="0"/>
        <w:bidi w:val="0"/>
        <w:snapToGrid/>
        <w:spacing w:line="360" w:lineRule="auto"/>
        <w:ind w:firstLine="420"/>
        <w:outlineLvl w:val="9"/>
        <w:rPr>
          <w:rFonts w:hint="eastAsia" w:ascii="仿宋" w:hAnsi="仿宋" w:eastAsia="仿宋" w:cs="仿宋"/>
          <w:color w:val="000000"/>
          <w:sz w:val="28"/>
          <w:szCs w:val="28"/>
        </w:rPr>
      </w:pPr>
    </w:p>
    <w:p w14:paraId="10A001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发包人(公章)：</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color w:val="000000"/>
          <w:sz w:val="28"/>
          <w:szCs w:val="28"/>
        </w:rPr>
        <w:t xml:space="preserve">  承包人(公章)：</w:t>
      </w:r>
      <w:r>
        <w:rPr>
          <w:rFonts w:hint="eastAsia" w:ascii="仿宋" w:hAnsi="仿宋" w:eastAsia="仿宋" w:cs="仿宋"/>
          <w:color w:val="000000"/>
          <w:sz w:val="28"/>
          <w:szCs w:val="28"/>
          <w:u w:val="single"/>
        </w:rPr>
        <w:t xml:space="preserve">           </w:t>
      </w:r>
    </w:p>
    <w:p w14:paraId="703A4E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地  址：</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FD416B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法定代表人(签字)：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35073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委托代理人(签字)：</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EF93EC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电  话：</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6A866E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传  真：</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A11B3E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开户银行：</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1B18CFE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账  号：</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5560234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邮政编码：</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附件4：</w:t>
      </w:r>
    </w:p>
    <w:p w14:paraId="318613F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主要建设工程文件目录</w:t>
      </w:r>
    </w:p>
    <w:tbl>
      <w:tblPr>
        <w:tblStyle w:val="18"/>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E58B8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62F3E9A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文件名称</w:t>
            </w:r>
          </w:p>
        </w:tc>
        <w:tc>
          <w:tcPr>
            <w:tcW w:w="1276" w:type="dxa"/>
            <w:tcBorders>
              <w:top w:val="single" w:color="auto" w:sz="12" w:space="0"/>
              <w:bottom w:val="double" w:color="auto" w:sz="6" w:space="0"/>
            </w:tcBorders>
            <w:noWrap w:val="0"/>
            <w:vAlign w:val="center"/>
          </w:tcPr>
          <w:p w14:paraId="0AFCDEF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套数</w:t>
            </w:r>
          </w:p>
        </w:tc>
        <w:tc>
          <w:tcPr>
            <w:tcW w:w="1450" w:type="dxa"/>
            <w:tcBorders>
              <w:top w:val="single" w:color="auto" w:sz="12" w:space="0"/>
              <w:bottom w:val="double" w:color="auto" w:sz="6" w:space="0"/>
            </w:tcBorders>
            <w:noWrap w:val="0"/>
            <w:vAlign w:val="center"/>
          </w:tcPr>
          <w:p w14:paraId="4A91517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费用（元）</w:t>
            </w:r>
          </w:p>
        </w:tc>
        <w:tc>
          <w:tcPr>
            <w:tcW w:w="1243" w:type="dxa"/>
            <w:tcBorders>
              <w:top w:val="single" w:color="auto" w:sz="12" w:space="0"/>
              <w:bottom w:val="double" w:color="auto" w:sz="6" w:space="0"/>
            </w:tcBorders>
            <w:noWrap w:val="0"/>
            <w:vAlign w:val="center"/>
          </w:tcPr>
          <w:p w14:paraId="43A6913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w:t>
            </w:r>
          </w:p>
        </w:tc>
        <w:tc>
          <w:tcPr>
            <w:tcW w:w="1450" w:type="dxa"/>
            <w:tcBorders>
              <w:top w:val="single" w:color="auto" w:sz="12" w:space="0"/>
              <w:bottom w:val="double" w:color="auto" w:sz="6" w:space="0"/>
            </w:tcBorders>
            <w:noWrap w:val="0"/>
            <w:vAlign w:val="top"/>
          </w:tcPr>
          <w:p w14:paraId="31E6968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移交时间</w:t>
            </w:r>
          </w:p>
        </w:tc>
        <w:tc>
          <w:tcPr>
            <w:tcW w:w="1667" w:type="dxa"/>
            <w:tcBorders>
              <w:top w:val="single" w:color="auto" w:sz="12" w:space="0"/>
              <w:bottom w:val="double" w:color="auto" w:sz="6" w:space="0"/>
            </w:tcBorders>
            <w:noWrap w:val="0"/>
            <w:vAlign w:val="top"/>
          </w:tcPr>
          <w:p w14:paraId="14515692">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责任人</w:t>
            </w:r>
          </w:p>
        </w:tc>
      </w:tr>
      <w:tr w14:paraId="3CA2DC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6A06358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center"/>
          </w:tcPr>
          <w:p w14:paraId="4357B27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3AFDFF8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double" w:color="auto" w:sz="6" w:space="0"/>
              <w:bottom w:val="single" w:color="auto" w:sz="6" w:space="0"/>
            </w:tcBorders>
            <w:noWrap w:val="0"/>
            <w:vAlign w:val="center"/>
          </w:tcPr>
          <w:p w14:paraId="45A196F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double" w:color="auto" w:sz="6" w:space="0"/>
              <w:bottom w:val="single" w:color="auto" w:sz="6" w:space="0"/>
            </w:tcBorders>
            <w:noWrap w:val="0"/>
            <w:vAlign w:val="center"/>
          </w:tcPr>
          <w:p w14:paraId="7112400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double" w:color="auto" w:sz="6" w:space="0"/>
              <w:bottom w:val="single" w:color="auto" w:sz="6" w:space="0"/>
            </w:tcBorders>
            <w:noWrap w:val="0"/>
            <w:vAlign w:val="center"/>
          </w:tcPr>
          <w:p w14:paraId="0960C57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8B8EF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58A6AE5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center"/>
          </w:tcPr>
          <w:p w14:paraId="5B0000D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7ACA2CB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tcBorders>
              <w:top w:val="nil"/>
            </w:tcBorders>
            <w:noWrap w:val="0"/>
            <w:vAlign w:val="center"/>
          </w:tcPr>
          <w:p w14:paraId="770691F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tcBorders>
              <w:top w:val="nil"/>
            </w:tcBorders>
            <w:noWrap w:val="0"/>
            <w:vAlign w:val="center"/>
          </w:tcPr>
          <w:p w14:paraId="59700ED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tcBorders>
              <w:top w:val="nil"/>
            </w:tcBorders>
            <w:noWrap w:val="0"/>
            <w:vAlign w:val="center"/>
          </w:tcPr>
          <w:p w14:paraId="5C68866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B2039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C49C95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4C245B1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21A432D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08012D1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2C2B905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72B5CC6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AF4F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847A6B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1CE8B59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235598D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7027DC9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58A3341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55D47EC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BE5F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9F33AF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4D4A900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0BF5A53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34AEEB8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73D48BA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16879F2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9E1D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F71931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7CCAB5E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52BC184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0AB99DC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1038606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79C0D2D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C9D7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CCCE2C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C3BCFA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443E7A8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6A8F7E6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F28F08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3F6C219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582FD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63904C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center"/>
          </w:tcPr>
          <w:p w14:paraId="7C7C9D1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6867522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43" w:type="dxa"/>
            <w:noWrap w:val="0"/>
            <w:vAlign w:val="center"/>
          </w:tcPr>
          <w:p w14:paraId="47D7F95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50" w:type="dxa"/>
            <w:noWrap w:val="0"/>
            <w:vAlign w:val="center"/>
          </w:tcPr>
          <w:p w14:paraId="1F56EBC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667" w:type="dxa"/>
            <w:noWrap w:val="0"/>
            <w:vAlign w:val="center"/>
          </w:tcPr>
          <w:p w14:paraId="51272BF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C46A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EBA0E1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649F33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EE271F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0D80631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81A16F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4C8A890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070DF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9453A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8367A0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32C695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72A00B9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629F5A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680449E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48A966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85173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78359F1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72D4F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40FE65A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E50B8F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C28802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89AB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5374EB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4569517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1D2D36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7318FF4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4D0988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4FBC05B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FDDA1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B8822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796784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5F962A4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1FA5ADD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206307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63E08B4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74604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9A10AB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098C834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D1B84E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2DBD816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B33D91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3148135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6E1B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7E1D9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68D8907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246503C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63489A1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6C1F099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45381C4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4CAC27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02E6C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206DB2B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7FD7C1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18F50FA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393EF4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71A49DC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9352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702A01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76" w:type="dxa"/>
            <w:noWrap w:val="0"/>
            <w:vAlign w:val="top"/>
          </w:tcPr>
          <w:p w14:paraId="72CEBCA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07B646C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243" w:type="dxa"/>
            <w:noWrap w:val="0"/>
            <w:vAlign w:val="top"/>
          </w:tcPr>
          <w:p w14:paraId="391893F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50" w:type="dxa"/>
            <w:noWrap w:val="0"/>
            <w:vAlign w:val="top"/>
          </w:tcPr>
          <w:p w14:paraId="77089C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667" w:type="dxa"/>
            <w:noWrap w:val="0"/>
            <w:vAlign w:val="top"/>
          </w:tcPr>
          <w:p w14:paraId="05330C7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59D95B4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2080A5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64" w:name="_Toc296347226"/>
      <w:bookmarkStart w:id="565" w:name="_Toc296346728"/>
      <w:bookmarkStart w:id="566" w:name="_Toc296944566"/>
      <w:bookmarkStart w:id="567" w:name="_Toc267261698"/>
      <w:bookmarkStart w:id="568" w:name="_Toc296503227"/>
      <w:bookmarkStart w:id="569" w:name="_Toc296891055"/>
      <w:bookmarkStart w:id="570" w:name="_Toc296891267"/>
      <w:r>
        <w:rPr>
          <w:rFonts w:hint="eastAsia" w:ascii="仿宋" w:hAnsi="仿宋" w:eastAsia="仿宋" w:cs="仿宋"/>
          <w:color w:val="000000"/>
          <w:sz w:val="28"/>
          <w:szCs w:val="28"/>
        </w:rPr>
        <w:t>件5：</w:t>
      </w:r>
    </w:p>
    <w:bookmarkEnd w:id="564"/>
    <w:bookmarkEnd w:id="565"/>
    <w:bookmarkEnd w:id="566"/>
    <w:bookmarkEnd w:id="567"/>
    <w:bookmarkEnd w:id="568"/>
    <w:bookmarkEnd w:id="569"/>
    <w:bookmarkEnd w:id="570"/>
    <w:p w14:paraId="7D13D5F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承包人用于本工程施工的机械设备表</w:t>
      </w:r>
    </w:p>
    <w:tbl>
      <w:tblPr>
        <w:tblStyle w:val="1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52B77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877140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418" w:type="dxa"/>
            <w:tcBorders>
              <w:top w:val="single" w:color="auto" w:sz="12" w:space="0"/>
              <w:bottom w:val="double" w:color="auto" w:sz="6" w:space="0"/>
            </w:tcBorders>
            <w:noWrap w:val="0"/>
            <w:vAlign w:val="center"/>
          </w:tcPr>
          <w:p w14:paraId="726F43C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机械或设备名称</w:t>
            </w:r>
          </w:p>
        </w:tc>
        <w:tc>
          <w:tcPr>
            <w:tcW w:w="850" w:type="dxa"/>
            <w:tcBorders>
              <w:top w:val="single" w:color="auto" w:sz="12" w:space="0"/>
              <w:bottom w:val="double" w:color="auto" w:sz="6" w:space="0"/>
            </w:tcBorders>
            <w:noWrap w:val="0"/>
            <w:vAlign w:val="center"/>
          </w:tcPr>
          <w:p w14:paraId="36868A5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规格型号</w:t>
            </w:r>
          </w:p>
        </w:tc>
        <w:tc>
          <w:tcPr>
            <w:tcW w:w="1058" w:type="dxa"/>
            <w:tcBorders>
              <w:top w:val="single" w:color="auto" w:sz="12" w:space="0"/>
              <w:bottom w:val="double" w:color="auto" w:sz="6" w:space="0"/>
            </w:tcBorders>
            <w:noWrap w:val="0"/>
            <w:vAlign w:val="center"/>
          </w:tcPr>
          <w:p w14:paraId="04D7D28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880" w:type="dxa"/>
            <w:tcBorders>
              <w:top w:val="single" w:color="auto" w:sz="12" w:space="0"/>
              <w:bottom w:val="double" w:color="auto" w:sz="6" w:space="0"/>
            </w:tcBorders>
            <w:noWrap w:val="0"/>
            <w:vAlign w:val="center"/>
          </w:tcPr>
          <w:p w14:paraId="2B327F6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产地</w:t>
            </w:r>
          </w:p>
        </w:tc>
        <w:tc>
          <w:tcPr>
            <w:tcW w:w="1020" w:type="dxa"/>
            <w:tcBorders>
              <w:top w:val="single" w:color="auto" w:sz="12" w:space="0"/>
              <w:bottom w:val="double" w:color="auto" w:sz="6" w:space="0"/>
            </w:tcBorders>
            <w:noWrap w:val="0"/>
            <w:vAlign w:val="center"/>
          </w:tcPr>
          <w:p w14:paraId="2CFAB96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制造年份</w:t>
            </w:r>
          </w:p>
        </w:tc>
        <w:tc>
          <w:tcPr>
            <w:tcW w:w="1480" w:type="dxa"/>
            <w:tcBorders>
              <w:top w:val="single" w:color="auto" w:sz="12" w:space="0"/>
              <w:bottom w:val="double" w:color="auto" w:sz="6" w:space="0"/>
            </w:tcBorders>
            <w:noWrap w:val="0"/>
            <w:vAlign w:val="center"/>
          </w:tcPr>
          <w:p w14:paraId="4D790C8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额定功率(kW)</w:t>
            </w:r>
          </w:p>
        </w:tc>
        <w:tc>
          <w:tcPr>
            <w:tcW w:w="1020" w:type="dxa"/>
            <w:tcBorders>
              <w:top w:val="single" w:color="auto" w:sz="12" w:space="0"/>
              <w:bottom w:val="double" w:color="auto" w:sz="6" w:space="0"/>
            </w:tcBorders>
            <w:noWrap w:val="0"/>
            <w:vAlign w:val="center"/>
          </w:tcPr>
          <w:p w14:paraId="4C399B6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生产能力</w:t>
            </w:r>
          </w:p>
        </w:tc>
        <w:tc>
          <w:tcPr>
            <w:tcW w:w="921" w:type="dxa"/>
            <w:tcBorders>
              <w:top w:val="single" w:color="auto" w:sz="12" w:space="0"/>
              <w:bottom w:val="double" w:color="auto" w:sz="6" w:space="0"/>
            </w:tcBorders>
            <w:noWrap w:val="0"/>
            <w:vAlign w:val="center"/>
          </w:tcPr>
          <w:p w14:paraId="30485FE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4F640D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3BEC7A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center"/>
          </w:tcPr>
          <w:p w14:paraId="40FB831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double" w:color="auto" w:sz="6" w:space="0"/>
              <w:bottom w:val="single" w:color="auto" w:sz="6" w:space="0"/>
            </w:tcBorders>
            <w:noWrap w:val="0"/>
            <w:vAlign w:val="center"/>
          </w:tcPr>
          <w:p w14:paraId="061B5CF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double" w:color="auto" w:sz="6" w:space="0"/>
              <w:bottom w:val="single" w:color="auto" w:sz="6" w:space="0"/>
            </w:tcBorders>
            <w:noWrap w:val="0"/>
            <w:vAlign w:val="center"/>
          </w:tcPr>
          <w:p w14:paraId="764A3B0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double" w:color="auto" w:sz="6" w:space="0"/>
              <w:bottom w:val="single" w:color="auto" w:sz="6" w:space="0"/>
            </w:tcBorders>
            <w:noWrap w:val="0"/>
            <w:vAlign w:val="center"/>
          </w:tcPr>
          <w:p w14:paraId="701120E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135C8D8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double" w:color="auto" w:sz="6" w:space="0"/>
              <w:bottom w:val="single" w:color="auto" w:sz="6" w:space="0"/>
            </w:tcBorders>
            <w:noWrap w:val="0"/>
            <w:vAlign w:val="center"/>
          </w:tcPr>
          <w:p w14:paraId="3D09F16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double" w:color="auto" w:sz="6" w:space="0"/>
              <w:bottom w:val="single" w:color="auto" w:sz="6" w:space="0"/>
            </w:tcBorders>
            <w:noWrap w:val="0"/>
            <w:vAlign w:val="center"/>
          </w:tcPr>
          <w:p w14:paraId="0C0CDBD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double" w:color="auto" w:sz="6" w:space="0"/>
              <w:bottom w:val="single" w:color="auto" w:sz="6" w:space="0"/>
            </w:tcBorders>
            <w:noWrap w:val="0"/>
            <w:vAlign w:val="center"/>
          </w:tcPr>
          <w:p w14:paraId="667251B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4E858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23FE5A5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center"/>
          </w:tcPr>
          <w:p w14:paraId="09B7CAA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tcBorders>
              <w:top w:val="nil"/>
            </w:tcBorders>
            <w:noWrap w:val="0"/>
            <w:vAlign w:val="center"/>
          </w:tcPr>
          <w:p w14:paraId="508D4C9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tcBorders>
              <w:top w:val="nil"/>
            </w:tcBorders>
            <w:noWrap w:val="0"/>
            <w:vAlign w:val="center"/>
          </w:tcPr>
          <w:p w14:paraId="2DCD570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tcBorders>
              <w:top w:val="nil"/>
            </w:tcBorders>
            <w:noWrap w:val="0"/>
            <w:vAlign w:val="center"/>
          </w:tcPr>
          <w:p w14:paraId="343C174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5DCD73A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tcBorders>
              <w:top w:val="nil"/>
            </w:tcBorders>
            <w:noWrap w:val="0"/>
            <w:vAlign w:val="center"/>
          </w:tcPr>
          <w:p w14:paraId="3ED92BC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tcBorders>
              <w:top w:val="nil"/>
            </w:tcBorders>
            <w:noWrap w:val="0"/>
            <w:vAlign w:val="center"/>
          </w:tcPr>
          <w:p w14:paraId="7068310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tcBorders>
              <w:top w:val="nil"/>
            </w:tcBorders>
            <w:noWrap w:val="0"/>
            <w:vAlign w:val="center"/>
          </w:tcPr>
          <w:p w14:paraId="602B88F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3CFD4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624A22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82B127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1ECA007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01E3C40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4670648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5622AD8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507917A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04BB2A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1445DE4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62C36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DCF2B5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3AAB3A9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08FD9DD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1ABEA2E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34505C9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443B6C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105F251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78C7CE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2559008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80E35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6EB7E9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5AB909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3738F85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747EE43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490B3CE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31E3B6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661D754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7332E28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1C737D4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1FD83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F42D0E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0AD0B8D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31E3085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5CC7BEE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6B1F442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19C37CF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30FB107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2F1806B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764FDA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06629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A2CA5A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E4E904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7DAEB1A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3CF4CC9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1444782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080B1B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21B46DA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2C985C1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16133F0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475CF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7E99A1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208C27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76DD37D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60573D5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7DF56E8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6D9F3B0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4DE2012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4E0EFB4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4E9D064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0CF17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A0AC71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314F701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135D738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09CBD5E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5470980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A2C645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A2140A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4C7F368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35CAE15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CA452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FAF4D3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70A332C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0" w:type="dxa"/>
            <w:noWrap w:val="0"/>
            <w:vAlign w:val="center"/>
          </w:tcPr>
          <w:p w14:paraId="52B6BC9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58" w:type="dxa"/>
            <w:noWrap w:val="0"/>
            <w:vAlign w:val="center"/>
          </w:tcPr>
          <w:p w14:paraId="21F002A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80" w:type="dxa"/>
            <w:noWrap w:val="0"/>
            <w:vAlign w:val="center"/>
          </w:tcPr>
          <w:p w14:paraId="6C98531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0157FA8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80" w:type="dxa"/>
            <w:noWrap w:val="0"/>
            <w:vAlign w:val="center"/>
          </w:tcPr>
          <w:p w14:paraId="279E680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020" w:type="dxa"/>
            <w:noWrap w:val="0"/>
            <w:vAlign w:val="center"/>
          </w:tcPr>
          <w:p w14:paraId="3F56EB4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921" w:type="dxa"/>
            <w:noWrap w:val="0"/>
            <w:vAlign w:val="center"/>
          </w:tcPr>
          <w:p w14:paraId="6236231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F74EB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7DB4E0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34D509F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5D50A19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3DDA888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89F6F8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75EA081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7A0B30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E70459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29967C7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B5312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01CAA9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218049E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7960F0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3AABD93E">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3820AD2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3F275C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6EDD33A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1FA3551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53211D1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13918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A31A66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9046E7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025B9E0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6CADC4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C6B5D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39ADE70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37BE4D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99377E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6EA1852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7962E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513EB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46EAFDF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0575A6D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0A0792D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48D1ECC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BD0022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1514422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32896E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4EFE622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590E1E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0EE6A8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5364767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72496EF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6B6C4B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3A0D6C4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005420A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4802BC9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9D378CF">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79F9D23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67295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EE5C0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EB102A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2DCFA76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24E7B78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694883E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1EA7DB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265EFAB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61FF11A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73853F3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r w14:paraId="32CBBC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19B412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18" w:type="dxa"/>
            <w:noWrap w:val="0"/>
            <w:vAlign w:val="top"/>
          </w:tcPr>
          <w:p w14:paraId="1552ABB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50" w:type="dxa"/>
            <w:noWrap w:val="0"/>
            <w:vAlign w:val="top"/>
          </w:tcPr>
          <w:p w14:paraId="257765B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58" w:type="dxa"/>
            <w:noWrap w:val="0"/>
            <w:vAlign w:val="top"/>
          </w:tcPr>
          <w:p w14:paraId="4A352AA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880" w:type="dxa"/>
            <w:noWrap w:val="0"/>
            <w:vAlign w:val="top"/>
          </w:tcPr>
          <w:p w14:paraId="13A354B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5972B96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480" w:type="dxa"/>
            <w:noWrap w:val="0"/>
            <w:vAlign w:val="top"/>
          </w:tcPr>
          <w:p w14:paraId="5FC2CA6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1020" w:type="dxa"/>
            <w:noWrap w:val="0"/>
            <w:vAlign w:val="top"/>
          </w:tcPr>
          <w:p w14:paraId="16C7AD4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c>
          <w:tcPr>
            <w:tcW w:w="921" w:type="dxa"/>
            <w:noWrap w:val="0"/>
            <w:vAlign w:val="top"/>
          </w:tcPr>
          <w:p w14:paraId="637F8DD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tc>
      </w:tr>
    </w:tbl>
    <w:p w14:paraId="76C11BB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729E3AC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bookmarkStart w:id="604" w:name="_GoBack"/>
      <w:bookmarkEnd w:id="604"/>
      <w:r>
        <w:rPr>
          <w:rFonts w:hint="eastAsia" w:ascii="仿宋" w:hAnsi="仿宋" w:eastAsia="仿宋" w:cs="仿宋"/>
          <w:color w:val="000000"/>
          <w:sz w:val="28"/>
          <w:szCs w:val="28"/>
        </w:rPr>
        <w:t>附</w:t>
      </w:r>
      <w:bookmarkStart w:id="571" w:name="_Toc296891056"/>
      <w:bookmarkStart w:id="572" w:name="_Toc296346729"/>
      <w:bookmarkStart w:id="573" w:name="_Toc296944567"/>
      <w:bookmarkStart w:id="574" w:name="_Toc296503228"/>
      <w:bookmarkStart w:id="575" w:name="_Toc296891268"/>
      <w:bookmarkStart w:id="576" w:name="_Toc296347227"/>
      <w:bookmarkStart w:id="577" w:name="_Toc267261699"/>
      <w:r>
        <w:rPr>
          <w:rFonts w:hint="eastAsia" w:ascii="仿宋" w:hAnsi="仿宋" w:eastAsia="仿宋" w:cs="仿宋"/>
          <w:color w:val="000000"/>
          <w:sz w:val="28"/>
          <w:szCs w:val="28"/>
        </w:rPr>
        <w:t>件6：</w:t>
      </w:r>
    </w:p>
    <w:bookmarkEnd w:id="571"/>
    <w:bookmarkEnd w:id="572"/>
    <w:bookmarkEnd w:id="573"/>
    <w:bookmarkEnd w:id="574"/>
    <w:bookmarkEnd w:id="575"/>
    <w:bookmarkEnd w:id="576"/>
    <w:bookmarkEnd w:id="577"/>
    <w:p w14:paraId="380892C5">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承包人主要施工管理人员表</w:t>
      </w:r>
    </w:p>
    <w:tbl>
      <w:tblPr>
        <w:tblStyle w:val="1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35547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ECED99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2CF634A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7168D38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7C9440A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09FC60B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3FE266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011BBDF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1F7190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14D737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5FF4F65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434134D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03C73B7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20EDE29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06CD5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429CDD5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0DF78F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411343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BDD208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38DB9BB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1C74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B36E85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6D4BAD5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2BFDEB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421A21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FF36AD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74EDB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E5598A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5A4F277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8D6C7F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0EDA69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FC7100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5099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255907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26E608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8DA72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32A531D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088C50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F60074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F39258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C430B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646807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67A9A8B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782570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F91130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D7EB79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47548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0D6CA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0697914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C3AC45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ADEF26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FC177F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F6D9A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1ECBEC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23F29A5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A5E644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4EAD82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DABB8B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C7490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32458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6A87950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CE5EA4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D31E5A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D1E5D7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C8D8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989E0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5CA28D2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FCE1AD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0C28CC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F939BA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B5A37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20E0CF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5836DD2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34D279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02854E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19E691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0FDF8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794467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67397DE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A842A2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35B107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72D176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38EC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C31E77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4E4F839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106215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70FA94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481ADD4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43671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119B1E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5D5294C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7C903E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DBFB43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985F3E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27B17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C47D68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476C799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4AD6CF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F0A167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994BD6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AE216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44C7E1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026A777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0F5B8F5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0E95890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2227789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55AA806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w:t>
      </w:r>
      <w:bookmarkStart w:id="578" w:name="_Toc296891269"/>
      <w:bookmarkStart w:id="579" w:name="_Toc296944568"/>
      <w:bookmarkStart w:id="580" w:name="_Toc296346730"/>
      <w:bookmarkStart w:id="581" w:name="_Toc296503229"/>
      <w:bookmarkStart w:id="582" w:name="_Toc296347228"/>
      <w:bookmarkStart w:id="583" w:name="_Toc296891057"/>
      <w:r>
        <w:rPr>
          <w:rFonts w:hint="eastAsia" w:ascii="仿宋" w:hAnsi="仿宋" w:eastAsia="仿宋" w:cs="仿宋"/>
          <w:color w:val="000000"/>
          <w:sz w:val="28"/>
          <w:szCs w:val="28"/>
        </w:rPr>
        <w:t>件7：</w:t>
      </w:r>
    </w:p>
    <w:bookmarkEnd w:id="578"/>
    <w:bookmarkEnd w:id="579"/>
    <w:bookmarkEnd w:id="580"/>
    <w:bookmarkEnd w:id="581"/>
    <w:bookmarkEnd w:id="582"/>
    <w:bookmarkEnd w:id="583"/>
    <w:p w14:paraId="0AA10CB6">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分包人主要施工管理人员表</w:t>
      </w:r>
    </w:p>
    <w:tbl>
      <w:tblPr>
        <w:tblStyle w:val="18"/>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0C64B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9A1CCA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    称</w:t>
            </w:r>
          </w:p>
        </w:tc>
        <w:tc>
          <w:tcPr>
            <w:tcW w:w="1418" w:type="dxa"/>
            <w:tcBorders>
              <w:top w:val="single" w:color="auto" w:sz="12" w:space="0"/>
              <w:bottom w:val="double" w:color="auto" w:sz="6" w:space="0"/>
            </w:tcBorders>
            <w:noWrap w:val="0"/>
            <w:vAlign w:val="center"/>
          </w:tcPr>
          <w:p w14:paraId="1AB08BB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姓名</w:t>
            </w:r>
          </w:p>
        </w:tc>
        <w:tc>
          <w:tcPr>
            <w:tcW w:w="1134" w:type="dxa"/>
            <w:tcBorders>
              <w:top w:val="single" w:color="auto" w:sz="12" w:space="0"/>
              <w:bottom w:val="double" w:color="auto" w:sz="6" w:space="0"/>
            </w:tcBorders>
            <w:noWrap w:val="0"/>
            <w:vAlign w:val="center"/>
          </w:tcPr>
          <w:p w14:paraId="3723F26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职务</w:t>
            </w:r>
          </w:p>
        </w:tc>
        <w:tc>
          <w:tcPr>
            <w:tcW w:w="1134" w:type="dxa"/>
            <w:tcBorders>
              <w:top w:val="single" w:color="auto" w:sz="12" w:space="0"/>
              <w:bottom w:val="double" w:color="auto" w:sz="6" w:space="0"/>
            </w:tcBorders>
            <w:noWrap w:val="0"/>
            <w:vAlign w:val="center"/>
          </w:tcPr>
          <w:p w14:paraId="585827D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职称</w:t>
            </w:r>
          </w:p>
        </w:tc>
        <w:tc>
          <w:tcPr>
            <w:tcW w:w="4252" w:type="dxa"/>
            <w:tcBorders>
              <w:top w:val="single" w:color="auto" w:sz="12" w:space="0"/>
              <w:bottom w:val="double" w:color="auto" w:sz="6" w:space="0"/>
            </w:tcBorders>
            <w:noWrap w:val="0"/>
            <w:vAlign w:val="center"/>
          </w:tcPr>
          <w:p w14:paraId="2516DD0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主要资历、经验及承担过的项目</w:t>
            </w:r>
          </w:p>
        </w:tc>
      </w:tr>
      <w:tr w14:paraId="219F0B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54EE9E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一、总部人员</w:t>
            </w:r>
          </w:p>
        </w:tc>
      </w:tr>
      <w:tr w14:paraId="0805D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EA3A4B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项目主管</w:t>
            </w:r>
          </w:p>
        </w:tc>
        <w:tc>
          <w:tcPr>
            <w:tcW w:w="1418" w:type="dxa"/>
            <w:tcBorders>
              <w:top w:val="nil"/>
            </w:tcBorders>
            <w:noWrap w:val="0"/>
            <w:vAlign w:val="center"/>
          </w:tcPr>
          <w:p w14:paraId="3CE3A98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5F58950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top w:val="nil"/>
            </w:tcBorders>
            <w:noWrap w:val="0"/>
            <w:vAlign w:val="center"/>
          </w:tcPr>
          <w:p w14:paraId="575A2F8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top w:val="nil"/>
            </w:tcBorders>
            <w:noWrap w:val="0"/>
            <w:vAlign w:val="center"/>
          </w:tcPr>
          <w:p w14:paraId="34E9069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CAA0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49C9D56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29CD568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EA884F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73DCF7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0B0112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23D73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1A856C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28A369C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1EF87E4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50F382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876A53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1BABC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A5A0C3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580DCEF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ADF3CA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D609C8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7CDF58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6C03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8AAA8D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二、现场人员</w:t>
            </w:r>
          </w:p>
        </w:tc>
      </w:tr>
      <w:tr w14:paraId="2F966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FB5075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项目经理</w:t>
            </w:r>
          </w:p>
        </w:tc>
        <w:tc>
          <w:tcPr>
            <w:tcW w:w="1418" w:type="dxa"/>
            <w:noWrap w:val="0"/>
            <w:vAlign w:val="center"/>
          </w:tcPr>
          <w:p w14:paraId="7B1E4F0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BBEA90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FC6607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DD0EBA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672F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F191AE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项目副经理</w:t>
            </w:r>
          </w:p>
        </w:tc>
        <w:tc>
          <w:tcPr>
            <w:tcW w:w="1418" w:type="dxa"/>
            <w:noWrap w:val="0"/>
            <w:vAlign w:val="center"/>
          </w:tcPr>
          <w:p w14:paraId="7EE96AB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6D0F6F4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23A4BE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99CBFF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92C1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836F5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技术负责人</w:t>
            </w:r>
          </w:p>
        </w:tc>
        <w:tc>
          <w:tcPr>
            <w:tcW w:w="1418" w:type="dxa"/>
            <w:noWrap w:val="0"/>
            <w:vAlign w:val="center"/>
          </w:tcPr>
          <w:p w14:paraId="6A501AA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F81AC4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7CE7A5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0F09CD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B52E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EEF442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造价管理</w:t>
            </w:r>
          </w:p>
        </w:tc>
        <w:tc>
          <w:tcPr>
            <w:tcW w:w="1418" w:type="dxa"/>
            <w:noWrap w:val="0"/>
            <w:vAlign w:val="center"/>
          </w:tcPr>
          <w:p w14:paraId="6C2410E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1D5373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51FB62C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6121A65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E443E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96F87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质量管理</w:t>
            </w:r>
          </w:p>
        </w:tc>
        <w:tc>
          <w:tcPr>
            <w:tcW w:w="1418" w:type="dxa"/>
            <w:noWrap w:val="0"/>
            <w:vAlign w:val="center"/>
          </w:tcPr>
          <w:p w14:paraId="62E7BF3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4B2C83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DD4A26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76B127C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B5AC0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4A7735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材料管理</w:t>
            </w:r>
          </w:p>
        </w:tc>
        <w:tc>
          <w:tcPr>
            <w:tcW w:w="1418" w:type="dxa"/>
            <w:noWrap w:val="0"/>
            <w:vAlign w:val="center"/>
          </w:tcPr>
          <w:p w14:paraId="1353982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294FE5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3A7AD5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1FF2C74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D4A34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5FCD2A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计划管理</w:t>
            </w:r>
          </w:p>
        </w:tc>
        <w:tc>
          <w:tcPr>
            <w:tcW w:w="1418" w:type="dxa"/>
            <w:noWrap w:val="0"/>
            <w:vAlign w:val="center"/>
          </w:tcPr>
          <w:p w14:paraId="1C9B3C6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D56F31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796127F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5F0A48D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93A9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9" w:hRule="atLeast"/>
          <w:jc w:val="center"/>
        </w:trPr>
        <w:tc>
          <w:tcPr>
            <w:tcW w:w="1871" w:type="dxa"/>
            <w:tcBorders>
              <w:top w:val="single" w:color="auto" w:sz="6" w:space="0"/>
              <w:bottom w:val="single" w:color="auto" w:sz="6" w:space="0"/>
            </w:tcBorders>
            <w:noWrap w:val="0"/>
            <w:vAlign w:val="center"/>
          </w:tcPr>
          <w:p w14:paraId="43CBEE0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安全管理</w:t>
            </w:r>
          </w:p>
        </w:tc>
        <w:tc>
          <w:tcPr>
            <w:tcW w:w="1418" w:type="dxa"/>
            <w:noWrap w:val="0"/>
            <w:vAlign w:val="center"/>
          </w:tcPr>
          <w:p w14:paraId="695E651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AFC6D9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4832FE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2CF36E2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8A06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5F50EF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其他人员</w:t>
            </w:r>
          </w:p>
        </w:tc>
        <w:tc>
          <w:tcPr>
            <w:tcW w:w="1418" w:type="dxa"/>
            <w:noWrap w:val="0"/>
            <w:vAlign w:val="center"/>
          </w:tcPr>
          <w:p w14:paraId="62E42AC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086C998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28926EE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3A881BD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E81AF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B8E4CB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nil"/>
            </w:tcBorders>
            <w:noWrap w:val="0"/>
            <w:vAlign w:val="center"/>
          </w:tcPr>
          <w:p w14:paraId="52237F4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74B2545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nil"/>
            </w:tcBorders>
            <w:noWrap w:val="0"/>
            <w:vAlign w:val="center"/>
          </w:tcPr>
          <w:p w14:paraId="4B328BB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nil"/>
            </w:tcBorders>
            <w:noWrap w:val="0"/>
            <w:vAlign w:val="center"/>
          </w:tcPr>
          <w:p w14:paraId="39E0CED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443F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5CD5F3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center"/>
          </w:tcPr>
          <w:p w14:paraId="6FC204E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41BD91C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noWrap w:val="0"/>
            <w:vAlign w:val="center"/>
          </w:tcPr>
          <w:p w14:paraId="3991E48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noWrap w:val="0"/>
            <w:vAlign w:val="center"/>
          </w:tcPr>
          <w:p w14:paraId="00F8D3F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5E2F4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76B3E9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bottom w:val="single" w:color="auto" w:sz="12" w:space="0"/>
            </w:tcBorders>
            <w:noWrap w:val="0"/>
            <w:vAlign w:val="center"/>
          </w:tcPr>
          <w:p w14:paraId="575511A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48ED73E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134" w:type="dxa"/>
            <w:tcBorders>
              <w:bottom w:val="single" w:color="auto" w:sz="12" w:space="0"/>
            </w:tcBorders>
            <w:noWrap w:val="0"/>
            <w:vAlign w:val="center"/>
          </w:tcPr>
          <w:p w14:paraId="4AC9784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252" w:type="dxa"/>
            <w:tcBorders>
              <w:bottom w:val="single" w:color="auto" w:sz="12" w:space="0"/>
            </w:tcBorders>
            <w:noWrap w:val="0"/>
            <w:vAlign w:val="center"/>
          </w:tcPr>
          <w:p w14:paraId="2BCD0EB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4F3897B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bookmarkStart w:id="584" w:name="_Toc267261701"/>
      <w:r>
        <w:rPr>
          <w:rFonts w:hint="eastAsia" w:ascii="仿宋" w:hAnsi="仿宋" w:eastAsia="仿宋" w:cs="仿宋"/>
          <w:color w:val="000000"/>
          <w:sz w:val="28"/>
          <w:szCs w:val="28"/>
        </w:rPr>
        <w:t>附</w:t>
      </w:r>
      <w:bookmarkStart w:id="585" w:name="_Toc296347230"/>
      <w:bookmarkStart w:id="586" w:name="_Toc296891271"/>
      <w:bookmarkStart w:id="587" w:name="_Toc296891059"/>
      <w:bookmarkStart w:id="588" w:name="_Toc296503231"/>
      <w:bookmarkStart w:id="589" w:name="_Toc296346732"/>
      <w:bookmarkStart w:id="590" w:name="_Toc296944570"/>
      <w:r>
        <w:rPr>
          <w:rFonts w:hint="eastAsia" w:ascii="仿宋" w:hAnsi="仿宋" w:eastAsia="仿宋" w:cs="仿宋"/>
          <w:color w:val="000000"/>
          <w:sz w:val="28"/>
          <w:szCs w:val="28"/>
        </w:rPr>
        <w:t>件8：</w:t>
      </w:r>
    </w:p>
    <w:bookmarkEnd w:id="584"/>
    <w:bookmarkEnd w:id="585"/>
    <w:bookmarkEnd w:id="586"/>
    <w:bookmarkEnd w:id="587"/>
    <w:bookmarkEnd w:id="588"/>
    <w:bookmarkEnd w:id="589"/>
    <w:bookmarkEnd w:id="590"/>
    <w:p w14:paraId="39590637">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履约担保</w:t>
      </w:r>
    </w:p>
    <w:p w14:paraId="5460E4DA">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rPr>
        <w:t>（发包人名称）：</w:t>
      </w:r>
    </w:p>
    <w:p w14:paraId="6AC6A5A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E98CB2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（发包人名称，以下简称“发包人”）与</w:t>
      </w:r>
    </w:p>
    <w:p w14:paraId="3915ECB0">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日就</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（工程名称）施工及有关事项协商一致共同签订《建设工程施工合同》。我方愿意无条件地、不可撤销地就承包人履行与你方签订的合同，向你方提供连带责任担保。 </w:t>
      </w:r>
    </w:p>
    <w:p w14:paraId="6EECC01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6894D7FD">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担保有效期自你方与承包人签订的合同生效之日起至你方签发或应签发工程接收证书之日止。</w:t>
      </w:r>
    </w:p>
    <w:p w14:paraId="04F2F6D0">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在本担保有效期内，因承包人违反合同约定的义务给你方造成经济损失时，我方在收到你方以书面形式提出的在担保金额内的赔偿要求后，在7天内无条件支付。</w:t>
      </w:r>
    </w:p>
    <w:p w14:paraId="7CA81732">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你方和承包人按合同约定变更合同时，我方承担本担保规定的义务不变。</w:t>
      </w:r>
    </w:p>
    <w:p w14:paraId="556D695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6D1CC71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4C262A5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38B15CE3">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 保 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53FDAB9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646F508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1338DA2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7C097B0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 xml:space="preserve">                                      </w:t>
      </w:r>
    </w:p>
    <w:p w14:paraId="71B0B24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368EA7DD">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p>
    <w:p w14:paraId="59C92813">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F7E3152">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40704A69">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D7AE16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0FED0122">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446D8715">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0532907F">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37BF339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5D70553">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lang w:eastAsia="zh-CN"/>
        </w:rPr>
      </w:pPr>
    </w:p>
    <w:p w14:paraId="7BA0FF71">
      <w:pPr>
        <w:pStyle w:val="5"/>
        <w:outlineLvl w:val="9"/>
        <w:rPr>
          <w:rFonts w:hint="eastAsia"/>
          <w:lang w:eastAsia="zh-CN"/>
        </w:rPr>
      </w:pPr>
    </w:p>
    <w:p w14:paraId="62ECCFE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20556483">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32F5DC1">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1DA136D7">
      <w:pPr>
        <w:pageBreakBefore w:val="0"/>
        <w:widowControl w:val="0"/>
        <w:kinsoku/>
        <w:wordWrap/>
        <w:overflowPunct/>
        <w:topLinePunct w:val="0"/>
        <w:bidi w:val="0"/>
        <w:snapToGrid/>
        <w:spacing w:line="360" w:lineRule="auto"/>
        <w:ind w:left="1899" w:hanging="1772" w:hangingChars="633"/>
        <w:outlineLvl w:val="9"/>
        <w:rPr>
          <w:rFonts w:hint="eastAsia" w:ascii="仿宋" w:hAnsi="仿宋" w:eastAsia="仿宋" w:cs="仿宋"/>
          <w:color w:val="000000"/>
          <w:sz w:val="28"/>
          <w:szCs w:val="28"/>
        </w:rPr>
      </w:pPr>
    </w:p>
    <w:p w14:paraId="0E001635">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44E6864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附</w:t>
      </w:r>
      <w:bookmarkStart w:id="591" w:name="_Toc296346733"/>
      <w:bookmarkStart w:id="592" w:name="_Toc296891060"/>
      <w:bookmarkStart w:id="593" w:name="_Toc267261702"/>
      <w:bookmarkStart w:id="594" w:name="_Toc296944571"/>
      <w:bookmarkStart w:id="595" w:name="_Toc296347231"/>
      <w:bookmarkStart w:id="596" w:name="_Toc296891272"/>
      <w:bookmarkStart w:id="597" w:name="_Toc296503232"/>
      <w:r>
        <w:rPr>
          <w:rFonts w:hint="eastAsia" w:ascii="仿宋" w:hAnsi="仿宋" w:eastAsia="仿宋" w:cs="仿宋"/>
          <w:color w:val="000000"/>
          <w:sz w:val="28"/>
          <w:szCs w:val="28"/>
        </w:rPr>
        <w:t>件9 ：</w:t>
      </w:r>
    </w:p>
    <w:bookmarkEnd w:id="591"/>
    <w:bookmarkEnd w:id="592"/>
    <w:bookmarkEnd w:id="593"/>
    <w:bookmarkEnd w:id="594"/>
    <w:bookmarkEnd w:id="595"/>
    <w:bookmarkEnd w:id="596"/>
    <w:bookmarkEnd w:id="597"/>
    <w:p w14:paraId="148797BC">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预付款担保</w:t>
      </w:r>
    </w:p>
    <w:p w14:paraId="2A18AE81">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 xml:space="preserve"> （发包人名称）：</w:t>
      </w:r>
    </w:p>
    <w:p w14:paraId="61022D0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4C426CA">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根据</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（承包人名称）（以下称“承包人”）与</w:t>
      </w:r>
    </w:p>
    <w:p w14:paraId="5DAA001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（发包人名称）（以下简称“发包人”）</w:t>
      </w:r>
    </w:p>
    <w:p w14:paraId="5A23E1C4">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（工程名称）《建设工程施工合同》，承包人按约定的金额向你方提交一份预付款担保，即有权得到你方支付相等金额的预付款。我方愿意就你方提供给承包人的预付款为承包人提供连带责任担保。</w:t>
      </w:r>
    </w:p>
    <w:p w14:paraId="0A264256">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担保金额人民币（大写）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元（¥</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287DD0E7">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担保有效期自预付款支付给承包人起生效，至你方签发的进度款支付证书说明已完全扣清止。</w:t>
      </w:r>
    </w:p>
    <w:p w14:paraId="43A6180E">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1C2346EC">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你方和承包人按合同约定变更合同时，我方承担本保函规定的义务不变。</w:t>
      </w:r>
    </w:p>
    <w:p w14:paraId="5A42D82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因本保函发生的纠纷，可由双方协商解决，协商不成的，任何一方均可提请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仲裁委员会仲裁。</w:t>
      </w:r>
    </w:p>
    <w:p w14:paraId="0D6836D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6. 本保函自我方法定代表人（或其授权代理人）签字并加盖公章之日起生效。</w:t>
      </w:r>
    </w:p>
    <w:p w14:paraId="70699D46">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1C1EE8FD">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582B01E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（盖单位章）</w:t>
      </w:r>
    </w:p>
    <w:p w14:paraId="1E86888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法定代表人或其委托代理人：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6404603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56C795F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6A537DD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电    话：</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19C97052">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r>
        <w:rPr>
          <w:rFonts w:hint="eastAsia" w:ascii="仿宋" w:hAnsi="仿宋" w:eastAsia="仿宋" w:cs="仿宋"/>
          <w:color w:val="000000"/>
          <w:sz w:val="28"/>
          <w:szCs w:val="28"/>
          <w:u w:val="single"/>
        </w:rPr>
        <w:tab/>
      </w:r>
    </w:p>
    <w:p w14:paraId="333782AC">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p>
    <w:p w14:paraId="3B620778">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u w:val="single"/>
        </w:rPr>
      </w:pPr>
    </w:p>
    <w:p w14:paraId="22DCDFEB">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907E41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b/>
          <w:color w:val="000000"/>
          <w:sz w:val="28"/>
          <w:szCs w:val="28"/>
        </w:rPr>
        <w:br w:type="page"/>
      </w:r>
      <w:r>
        <w:rPr>
          <w:rFonts w:hint="eastAsia" w:ascii="仿宋" w:hAnsi="仿宋" w:eastAsia="仿宋" w:cs="仿宋"/>
          <w:color w:val="000000"/>
          <w:sz w:val="28"/>
          <w:szCs w:val="28"/>
        </w:rPr>
        <w:t>附</w:t>
      </w:r>
      <w:bookmarkStart w:id="598" w:name="_Toc296891273"/>
      <w:bookmarkStart w:id="599" w:name="_Toc296347232"/>
      <w:bookmarkStart w:id="600" w:name="_Toc296891061"/>
      <w:bookmarkStart w:id="601" w:name="_Toc296346734"/>
      <w:bookmarkStart w:id="602" w:name="_Toc296503233"/>
      <w:bookmarkStart w:id="603" w:name="_Toc296944572"/>
      <w:r>
        <w:rPr>
          <w:rFonts w:hint="eastAsia" w:ascii="仿宋" w:hAnsi="仿宋" w:eastAsia="仿宋" w:cs="仿宋"/>
          <w:color w:val="000000"/>
          <w:sz w:val="28"/>
          <w:szCs w:val="28"/>
        </w:rPr>
        <w:t xml:space="preserve">件10:  </w:t>
      </w:r>
    </w:p>
    <w:bookmarkEnd w:id="598"/>
    <w:bookmarkEnd w:id="599"/>
    <w:bookmarkEnd w:id="600"/>
    <w:bookmarkEnd w:id="601"/>
    <w:bookmarkEnd w:id="602"/>
    <w:bookmarkEnd w:id="603"/>
    <w:p w14:paraId="1E1106D0">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支付担保</w:t>
      </w:r>
    </w:p>
    <w:p w14:paraId="17EC48F3">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（承包人）：</w:t>
      </w:r>
    </w:p>
    <w:p w14:paraId="01F3E5D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鉴于你方作为承包人已经与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（发包人名称）（以下称“发包人”）于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日签订了</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（工程名称）《建设工程施工合同》（以下称“主合同”），应发包人的申请，我方愿就发包人履行主合同约定的工程款支付义务以保证的方式向你方提供如下担保：</w:t>
      </w:r>
    </w:p>
    <w:p w14:paraId="0B9F56B9">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一、保证的范围及保证金额</w:t>
      </w:r>
    </w:p>
    <w:p w14:paraId="368314C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我方的保证范围是主合同约定的工程款。</w:t>
      </w:r>
    </w:p>
    <w:p w14:paraId="20B2F4D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本保函所称主合同约定的工程款是指主合同约定的除工程质量保证金以外的合同价款。</w:t>
      </w:r>
    </w:p>
    <w:p w14:paraId="57C36E5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我方保证的金额是主合同约定的工程款的</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%，数额最高不超过人民币元（大写：</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w:t>
      </w:r>
    </w:p>
    <w:p w14:paraId="496EDAB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二、保证的方式及保证期间</w:t>
      </w:r>
    </w:p>
    <w:p w14:paraId="36302B1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我方保证的方式为：连带责任保证。</w:t>
      </w:r>
    </w:p>
    <w:p w14:paraId="6D0F14D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我方保证的期间为：自本合同生效之日起至主合同约定的工程款支付完毕之日后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日内。</w:t>
      </w:r>
    </w:p>
    <w:p w14:paraId="11A18D7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你方与发包人协议变更工程款支付日期的，经我方书面同意后，保证期间按照变更后的支付日期做相应调整。</w:t>
      </w:r>
    </w:p>
    <w:p w14:paraId="0B6B80C4">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三、承担保证责任的形式</w:t>
      </w:r>
    </w:p>
    <w:p w14:paraId="359BAE8E">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我方承担保证责任的形式是代为支付。发包人未按主合同约定向你方支付工程款的，由我方在保证金额内代为支付。</w:t>
      </w:r>
    </w:p>
    <w:p w14:paraId="3A381EE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四、代偿的安排</w:t>
      </w:r>
    </w:p>
    <w:p w14:paraId="0ADC6DDA">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你方要求我方承担保证责任的，应向我方发出书面索赔通知及发包人未支付主合同约定工程款的证明材料。索赔通知应写明要求索赔的金额，支付款项应到达的账号。</w:t>
      </w:r>
    </w:p>
    <w:p w14:paraId="7F2C44D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在出现你方与发包人因工程质量发生争议，发包人拒绝向你方支付工程款的情形时，你方要求我方履行保证责任代为支付的，需提供符合相应条件要求的工程质量检测机构出具的质量说明材料。</w:t>
      </w:r>
    </w:p>
    <w:p w14:paraId="14A9F57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我方收到你方的书面索赔通知及相应的证明材料后７天内无条件支付。</w:t>
      </w:r>
    </w:p>
    <w:p w14:paraId="6D8468B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五、保证责任的解除</w:t>
      </w:r>
    </w:p>
    <w:p w14:paraId="56E01D8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在本保函承诺的保证期间内，你方未书面向我方主张保证责任的，自保证期间届满次日起，我方保证责任解除。</w:t>
      </w:r>
    </w:p>
    <w:p w14:paraId="30063C91">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发包人按主合同约定履行了工程款的全部支付义务的，自本保函承诺的保证期间届满次日起，我方保证责任解除。</w:t>
      </w:r>
    </w:p>
    <w:p w14:paraId="3E5505A0">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我方按照本保函向你方履行保证责任所支付金额达到本保函保证金额时，自我方向你方支付（支付款项从我方账户划出）之日起，保证责任即解除。</w:t>
      </w:r>
    </w:p>
    <w:p w14:paraId="340D036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按照法律法规的规定或出现应解除我方保证责任的其他情形的，我方在本保函项下的保证责任亦解除。</w:t>
      </w:r>
    </w:p>
    <w:p w14:paraId="4A2F822B">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p>
    <w:p w14:paraId="03B6BACC">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5. 我方解除保证责任后，你方应自我方保证责任解除之日起</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个工作日内，将本保函原件返还我方。</w:t>
      </w:r>
    </w:p>
    <w:p w14:paraId="3C5449F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六、免责条款</w:t>
      </w:r>
    </w:p>
    <w:p w14:paraId="4455924D">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 因你方违约致使发包人不能履行义务的，我方不承担保证责任。</w:t>
      </w:r>
    </w:p>
    <w:p w14:paraId="65D5EF3B">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 依照法律法规的规定或你方与发包人的另行约定，免除发包人部分或全部义务的，我方亦免除其相应的保证责任。</w:t>
      </w:r>
    </w:p>
    <w:p w14:paraId="47233FF5">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3. 你方与发包人协议变更主合同的，如加重发包人责任致使我方保证责任加重的，需征得我方书面同意，否则我方不再承担因此而加重部分的保证责任，但主合同第10条〔变更〕约定的变更不受本款限制。</w:t>
      </w:r>
    </w:p>
    <w:p w14:paraId="68E49A57">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4. 因不可抗力造成发包人不能履行义务的，我方不承担保证责任。</w:t>
      </w:r>
    </w:p>
    <w:p w14:paraId="4622650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七、争议解决</w:t>
      </w:r>
    </w:p>
    <w:p w14:paraId="69C1C6D4">
      <w:pPr>
        <w:pageBreakBefore w:val="0"/>
        <w:widowControl w:val="0"/>
        <w:kinsoku/>
        <w:wordWrap/>
        <w:overflowPunct/>
        <w:topLinePunct w:val="0"/>
        <w:bidi w:val="0"/>
        <w:snapToGrid/>
        <w:spacing w:line="360" w:lineRule="auto"/>
        <w:ind w:firstLine="560" w:firstLineChars="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因本保函或本保函相关事项发生的纠纷，可由双方协商解决，协商不成的，按下列第</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种方式解决：</w:t>
      </w:r>
    </w:p>
    <w:p w14:paraId="62058E46">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仲裁委员会申请仲裁；</w:t>
      </w:r>
    </w:p>
    <w:p w14:paraId="32C09042">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（2）向</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人民法院起诉。</w:t>
      </w:r>
    </w:p>
    <w:p w14:paraId="2938BA63">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八、保函的生效</w:t>
      </w:r>
    </w:p>
    <w:p w14:paraId="766CF1F8">
      <w:pPr>
        <w:pageBreakBefore w:val="0"/>
        <w:widowControl w:val="0"/>
        <w:kinsoku/>
        <w:wordWrap/>
        <w:overflowPunct/>
        <w:topLinePunct w:val="0"/>
        <w:bidi w:val="0"/>
        <w:snapToGrid/>
        <w:spacing w:line="360" w:lineRule="auto"/>
        <w:ind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本保函自我方法定代表人（或其授权代理人）签字并加盖公章之日起生效。</w:t>
      </w:r>
    </w:p>
    <w:p w14:paraId="793118EE">
      <w:pPr>
        <w:pageBreakBefore w:val="0"/>
        <w:widowControl w:val="0"/>
        <w:kinsoku/>
        <w:wordWrap/>
        <w:overflowPunct/>
        <w:topLinePunct w:val="0"/>
        <w:bidi w:val="0"/>
        <w:snapToGrid/>
        <w:spacing w:line="360" w:lineRule="auto"/>
        <w:ind w:right="6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担保人：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（盖章）</w:t>
      </w:r>
    </w:p>
    <w:p w14:paraId="0585F1A6">
      <w:pPr>
        <w:pageBreakBefore w:val="0"/>
        <w:widowControl w:val="0"/>
        <w:kinsoku/>
        <w:wordWrap/>
        <w:overflowPunct/>
        <w:topLinePunct w:val="0"/>
        <w:bidi w:val="0"/>
        <w:snapToGrid/>
        <w:spacing w:line="360" w:lineRule="auto"/>
        <w:ind w:right="1200"/>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法定代表人或委托代理人：</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（签字）</w:t>
      </w:r>
    </w:p>
    <w:p w14:paraId="0F7654BC">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地    址：</w:t>
      </w:r>
      <w:r>
        <w:rPr>
          <w:rFonts w:hint="eastAsia" w:ascii="仿宋" w:hAnsi="仿宋" w:eastAsia="仿宋" w:cs="仿宋"/>
          <w:color w:val="000000"/>
          <w:sz w:val="28"/>
          <w:szCs w:val="28"/>
          <w:u w:val="single"/>
        </w:rPr>
        <w:t xml:space="preserve">                                        </w:t>
      </w:r>
    </w:p>
    <w:p w14:paraId="75E596A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邮政编码：</w:t>
      </w:r>
      <w:r>
        <w:rPr>
          <w:rFonts w:hint="eastAsia" w:ascii="仿宋" w:hAnsi="仿宋" w:eastAsia="仿宋" w:cs="仿宋"/>
          <w:color w:val="000000"/>
          <w:sz w:val="28"/>
          <w:szCs w:val="28"/>
          <w:u w:val="single"/>
        </w:rPr>
        <w:t xml:space="preserve">                                        </w:t>
      </w:r>
    </w:p>
    <w:p w14:paraId="5C1AEBF1">
      <w:pPr>
        <w:pageBreakBefore w:val="0"/>
        <w:widowControl w:val="0"/>
        <w:kinsoku/>
        <w:wordWrap/>
        <w:overflowPunct/>
        <w:topLinePunct w:val="0"/>
        <w:bidi w:val="0"/>
        <w:snapToGrid/>
        <w:spacing w:line="360" w:lineRule="auto"/>
        <w:jc w:val="left"/>
        <w:outlineLvl w:val="9"/>
        <w:rPr>
          <w:rFonts w:hint="eastAsia" w:ascii="仿宋" w:hAnsi="仿宋" w:eastAsia="仿宋" w:cs="仿宋"/>
          <w:color w:val="000000"/>
          <w:sz w:val="28"/>
          <w:szCs w:val="28"/>
          <w:u w:val="single"/>
        </w:rPr>
      </w:pPr>
      <w:r>
        <w:rPr>
          <w:rFonts w:hint="eastAsia" w:ascii="仿宋" w:hAnsi="仿宋" w:eastAsia="仿宋" w:cs="仿宋"/>
          <w:color w:val="000000"/>
          <w:sz w:val="28"/>
          <w:szCs w:val="28"/>
        </w:rPr>
        <w:t>传    真：</w:t>
      </w:r>
      <w:r>
        <w:rPr>
          <w:rFonts w:hint="eastAsia" w:ascii="仿宋" w:hAnsi="仿宋" w:eastAsia="仿宋" w:cs="仿宋"/>
          <w:color w:val="000000"/>
          <w:sz w:val="28"/>
          <w:szCs w:val="28"/>
          <w:u w:val="single"/>
        </w:rPr>
        <w:t xml:space="preserve">                                        </w:t>
      </w:r>
    </w:p>
    <w:p w14:paraId="02CCFA7C">
      <w:pPr>
        <w:pageBreakBefore w:val="0"/>
        <w:widowControl w:val="0"/>
        <w:kinsoku/>
        <w:wordWrap/>
        <w:overflowPunct/>
        <w:topLinePunct w:val="0"/>
        <w:bidi w:val="0"/>
        <w:snapToGrid/>
        <w:spacing w:line="360" w:lineRule="auto"/>
        <w:ind w:right="150" w:firstLine="560" w:firstLineChars="200"/>
        <w:jc w:val="left"/>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43C9BBD9">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附件11：</w:t>
      </w:r>
    </w:p>
    <w:p w14:paraId="5D39A87D">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11-1：材料暂估价表</w:t>
      </w:r>
    </w:p>
    <w:tbl>
      <w:tblPr>
        <w:tblStyle w:val="18"/>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D4BE3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5180CB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6BE80AD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2E976EA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018B424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3893486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7B6F75B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4103469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415557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40D70A5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3F1720E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5B29175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2A8CB2D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2517549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0EB69EA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50F50C3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26CB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3A2E3A9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7579249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3E69917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31EFF16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7C6F7F1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48838D9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19FFAE9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89448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5127A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F7C78F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F34DCF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EFA0C8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2CD888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5AAF7F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A483C9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B71C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EFBC1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AC959E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B60897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A38E9B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716A10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98A593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07690E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6C3C3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C96E2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7EB46C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84BFE1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2FEEAD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3293AF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F3F910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F35CA1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6FBF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F9B14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121CFD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66D8B5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CFBA88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0A8BEB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6BCBF8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DE10A7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F250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DBA00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908DC2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4770FA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739C26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D54258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811DC5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9A8693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613D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76493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13C4DE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0D63ED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B71D78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2E65D6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F5FBCD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3CB95A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79D37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746EA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CFC285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5AC5EA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79E18E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571DE9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9E807F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F56263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7B24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9D14A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5563EA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F7AA02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F579EA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6754A3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120C96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3257CC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5597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69ACA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BA3F87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E24877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A041F7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791159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3DDFEC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ABEAE6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5DC5E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8EB55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AC58B7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A74C43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CCF92A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E2212F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BD8414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D14A4B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C5118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F49B8C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053D67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1B5968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B15BB2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694D21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6F9243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B6BB07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7E89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206C7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9957F8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2E320F1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54A8C9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95D3DA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8C0306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436B30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DFFE1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A4A20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D4FB15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2E3F01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B21651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53C2FDC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067F51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1ED2E8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B0F9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8342F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2ECE01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597D2A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4C757C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2E9BF0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F92117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2A1571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68DA6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BC154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E4EB5F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50F11BF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21F4816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018424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4C027A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D4A2DB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7B2C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DE7D9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0B00DD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58ADE2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2D1260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0D8EDA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3B450A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CA746F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78190367">
      <w:pPr>
        <w:pageBreakBefore w:val="0"/>
        <w:widowControl w:val="0"/>
        <w:kinsoku/>
        <w:wordWrap/>
        <w:overflowPunct/>
        <w:topLinePunct w:val="0"/>
        <w:bidi w:val="0"/>
        <w:snapToGrid/>
        <w:spacing w:line="360" w:lineRule="auto"/>
        <w:outlineLvl w:val="9"/>
        <w:rPr>
          <w:rFonts w:hint="eastAsia" w:ascii="仿宋" w:hAnsi="仿宋" w:eastAsia="仿宋" w:cs="仿宋"/>
          <w:color w:val="000000"/>
          <w:sz w:val="28"/>
          <w:szCs w:val="28"/>
        </w:rPr>
      </w:pPr>
    </w:p>
    <w:p w14:paraId="24D3EDB3">
      <w:pPr>
        <w:pageBreakBefore w:val="0"/>
        <w:widowControl w:val="0"/>
        <w:kinsoku/>
        <w:wordWrap/>
        <w:overflowPunct/>
        <w:topLinePunct w:val="0"/>
        <w:bidi w:val="0"/>
        <w:snapToGrid/>
        <w:spacing w:line="360" w:lineRule="auto"/>
        <w:jc w:val="center"/>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t>11-2：工程设备暂估价表</w:t>
      </w:r>
    </w:p>
    <w:tbl>
      <w:tblPr>
        <w:tblStyle w:val="18"/>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58C6F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7F8CFEB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5CA65B3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名称</w:t>
            </w:r>
          </w:p>
        </w:tc>
        <w:tc>
          <w:tcPr>
            <w:tcW w:w="851" w:type="dxa"/>
            <w:tcBorders>
              <w:top w:val="single" w:color="auto" w:sz="12" w:space="0"/>
              <w:bottom w:val="double" w:color="auto" w:sz="6" w:space="0"/>
            </w:tcBorders>
            <w:noWrap w:val="0"/>
            <w:vAlign w:val="top"/>
          </w:tcPr>
          <w:p w14:paraId="2DD1B6B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单位</w:t>
            </w:r>
          </w:p>
        </w:tc>
        <w:tc>
          <w:tcPr>
            <w:tcW w:w="774" w:type="dxa"/>
            <w:tcBorders>
              <w:top w:val="single" w:color="auto" w:sz="12" w:space="0"/>
              <w:bottom w:val="double" w:color="auto" w:sz="6" w:space="0"/>
            </w:tcBorders>
            <w:noWrap w:val="0"/>
            <w:vAlign w:val="top"/>
          </w:tcPr>
          <w:p w14:paraId="6E0F907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数量</w:t>
            </w:r>
          </w:p>
        </w:tc>
        <w:tc>
          <w:tcPr>
            <w:tcW w:w="1352" w:type="dxa"/>
            <w:tcBorders>
              <w:top w:val="single" w:color="auto" w:sz="12" w:space="0"/>
              <w:bottom w:val="double" w:color="auto" w:sz="6" w:space="0"/>
            </w:tcBorders>
            <w:noWrap w:val="0"/>
            <w:vAlign w:val="top"/>
          </w:tcPr>
          <w:p w14:paraId="371BE24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单价（元）</w:t>
            </w:r>
          </w:p>
        </w:tc>
        <w:tc>
          <w:tcPr>
            <w:tcW w:w="1418" w:type="dxa"/>
            <w:tcBorders>
              <w:top w:val="single" w:color="auto" w:sz="12" w:space="0"/>
              <w:bottom w:val="double" w:color="auto" w:sz="6" w:space="0"/>
            </w:tcBorders>
            <w:noWrap w:val="0"/>
            <w:vAlign w:val="top"/>
          </w:tcPr>
          <w:p w14:paraId="4105C43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合价（元）</w:t>
            </w:r>
          </w:p>
        </w:tc>
        <w:tc>
          <w:tcPr>
            <w:tcW w:w="1701" w:type="dxa"/>
            <w:tcBorders>
              <w:top w:val="single" w:color="auto" w:sz="12" w:space="0"/>
              <w:bottom w:val="double" w:color="auto" w:sz="6" w:space="0"/>
            </w:tcBorders>
            <w:noWrap w:val="0"/>
            <w:vAlign w:val="top"/>
          </w:tcPr>
          <w:p w14:paraId="1DC188F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备注</w:t>
            </w:r>
          </w:p>
        </w:tc>
      </w:tr>
      <w:tr w14:paraId="1EACE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A999EE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3E4E1CA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double" w:color="auto" w:sz="6" w:space="0"/>
              <w:bottom w:val="single" w:color="auto" w:sz="6" w:space="0"/>
            </w:tcBorders>
            <w:noWrap w:val="0"/>
            <w:vAlign w:val="top"/>
          </w:tcPr>
          <w:p w14:paraId="6D4B5FF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double" w:color="auto" w:sz="6" w:space="0"/>
              <w:bottom w:val="single" w:color="auto" w:sz="6" w:space="0"/>
            </w:tcBorders>
            <w:noWrap w:val="0"/>
            <w:vAlign w:val="top"/>
          </w:tcPr>
          <w:p w14:paraId="317B194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double" w:color="auto" w:sz="6" w:space="0"/>
              <w:bottom w:val="single" w:color="auto" w:sz="6" w:space="0"/>
            </w:tcBorders>
            <w:noWrap w:val="0"/>
            <w:vAlign w:val="top"/>
          </w:tcPr>
          <w:p w14:paraId="6F764F6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double" w:color="auto" w:sz="6" w:space="0"/>
              <w:bottom w:val="single" w:color="auto" w:sz="6" w:space="0"/>
            </w:tcBorders>
            <w:noWrap w:val="0"/>
            <w:vAlign w:val="top"/>
          </w:tcPr>
          <w:p w14:paraId="4E5F080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double" w:color="auto" w:sz="6" w:space="0"/>
              <w:bottom w:val="single" w:color="auto" w:sz="6" w:space="0"/>
            </w:tcBorders>
            <w:noWrap w:val="0"/>
            <w:vAlign w:val="top"/>
          </w:tcPr>
          <w:p w14:paraId="1264C6A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05384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0EBC524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307ADED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tcBorders>
              <w:top w:val="nil"/>
            </w:tcBorders>
            <w:noWrap w:val="0"/>
            <w:vAlign w:val="top"/>
          </w:tcPr>
          <w:p w14:paraId="0366B4A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tcBorders>
              <w:top w:val="nil"/>
            </w:tcBorders>
            <w:noWrap w:val="0"/>
            <w:vAlign w:val="top"/>
          </w:tcPr>
          <w:p w14:paraId="59C4E37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tcBorders>
              <w:top w:val="nil"/>
            </w:tcBorders>
            <w:noWrap w:val="0"/>
            <w:vAlign w:val="top"/>
          </w:tcPr>
          <w:p w14:paraId="28ED32A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tcBorders>
              <w:top w:val="nil"/>
            </w:tcBorders>
            <w:noWrap w:val="0"/>
            <w:vAlign w:val="top"/>
          </w:tcPr>
          <w:p w14:paraId="504A005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tcBorders>
              <w:top w:val="nil"/>
            </w:tcBorders>
            <w:noWrap w:val="0"/>
            <w:vAlign w:val="top"/>
          </w:tcPr>
          <w:p w14:paraId="3095FA4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C9791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9438F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928093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E82113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4A782E2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16E047D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208D2E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DCB354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6605D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32932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B97E72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495CF5C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573636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1B23ED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4786AB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EF0EBB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CDB07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3B460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DB3AA0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441E9A4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08FC5B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459B7CE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23516B7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E8DC27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0982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917F5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B47CB9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AF911F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5496E4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168A11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932530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4CB198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20D13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A530B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3A96EE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DD3657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007634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5F6E8F9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77ED62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2C4B287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72185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3148D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D75D32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7F77CD8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3C2D2E4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A5CFA0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4F61A1E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73D7AA3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90D9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E4AAE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8DE780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4C5685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D3C3DC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26DC1A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4D8821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8227E4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91D76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A03F8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9226BB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4F1AA3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3DA61A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0823FF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B33751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1DFBD9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CC91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8D6E8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33B993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85C5B9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D10D9A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EBAA08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078837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0106787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C4BB9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B7E78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1B6993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488EB2D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F14A75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4396E8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3959DF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4B654A7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5A6F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634BF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7E12CA2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196FABB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62E9EF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278CDE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3B799CA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66E2F8A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3A72C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8BDB7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84326A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4033A8E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6FC438D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311156F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582CD36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5BC09E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54393F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54CBA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E2F1D0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B4EB95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DF4FC3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21161AE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7554BD1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97A3D7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3C3EC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BDF366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ABA4EC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4EB110D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740A8AA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539C438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AC29B6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5329A1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240FD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9CBC0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7FEEE1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0A2621B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015EB44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0759278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1EAE977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5370F73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D444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0F30F3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D01ED2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336DBF9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194957F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7D7100A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61D75EB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10E73FC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92DA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EEEF5B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4875D9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851" w:type="dxa"/>
            <w:noWrap w:val="0"/>
            <w:vAlign w:val="top"/>
          </w:tcPr>
          <w:p w14:paraId="633A640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774" w:type="dxa"/>
            <w:noWrap w:val="0"/>
            <w:vAlign w:val="top"/>
          </w:tcPr>
          <w:p w14:paraId="57C642B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352" w:type="dxa"/>
            <w:noWrap w:val="0"/>
            <w:vAlign w:val="top"/>
          </w:tcPr>
          <w:p w14:paraId="6864C6F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418" w:type="dxa"/>
            <w:noWrap w:val="0"/>
            <w:vAlign w:val="top"/>
          </w:tcPr>
          <w:p w14:paraId="0B2D23D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701" w:type="dxa"/>
            <w:noWrap w:val="0"/>
            <w:vAlign w:val="top"/>
          </w:tcPr>
          <w:p w14:paraId="302A583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bl>
    <w:p w14:paraId="22C70733">
      <w:pPr>
        <w:pageBreakBefore w:val="0"/>
        <w:widowControl w:val="0"/>
        <w:kinsoku/>
        <w:wordWrap/>
        <w:overflowPunct/>
        <w:topLinePunct w:val="0"/>
        <w:bidi w:val="0"/>
        <w:snapToGrid/>
        <w:spacing w:line="360" w:lineRule="auto"/>
        <w:jc w:val="both"/>
        <w:outlineLvl w:val="9"/>
        <w:rPr>
          <w:rFonts w:hint="eastAsia" w:ascii="仿宋" w:hAnsi="仿宋" w:eastAsia="仿宋" w:cs="仿宋"/>
          <w:color w:val="000000"/>
          <w:sz w:val="28"/>
          <w:szCs w:val="28"/>
        </w:rPr>
      </w:pPr>
      <w:r>
        <w:rPr>
          <w:rFonts w:hint="eastAsia" w:ascii="仿宋" w:hAnsi="仿宋" w:eastAsia="仿宋" w:cs="仿宋"/>
          <w:color w:val="000000"/>
          <w:sz w:val="28"/>
          <w:szCs w:val="28"/>
        </w:rPr>
        <w:br w:type="page"/>
      </w:r>
      <w:r>
        <w:rPr>
          <w:rFonts w:hint="eastAsia" w:ascii="仿宋" w:hAnsi="仿宋" w:eastAsia="仿宋" w:cs="仿宋"/>
          <w:color w:val="000000"/>
          <w:sz w:val="28"/>
          <w:szCs w:val="28"/>
        </w:rPr>
        <w:t>11-3：专业工程暂估价表</w:t>
      </w:r>
    </w:p>
    <w:tbl>
      <w:tblPr>
        <w:tblStyle w:val="1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05D550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3DB75FB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序号</w:t>
            </w:r>
          </w:p>
        </w:tc>
        <w:tc>
          <w:tcPr>
            <w:tcW w:w="1984" w:type="dxa"/>
            <w:tcBorders>
              <w:top w:val="single" w:color="auto" w:sz="12" w:space="0"/>
              <w:bottom w:val="double" w:color="auto" w:sz="6" w:space="0"/>
            </w:tcBorders>
            <w:noWrap w:val="0"/>
            <w:vAlign w:val="top"/>
          </w:tcPr>
          <w:p w14:paraId="46F8C8F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专业工程名称</w:t>
            </w:r>
          </w:p>
        </w:tc>
        <w:tc>
          <w:tcPr>
            <w:tcW w:w="4678" w:type="dxa"/>
            <w:tcBorders>
              <w:top w:val="single" w:color="auto" w:sz="12" w:space="0"/>
              <w:bottom w:val="double" w:color="auto" w:sz="6" w:space="0"/>
            </w:tcBorders>
            <w:noWrap w:val="0"/>
            <w:vAlign w:val="top"/>
          </w:tcPr>
          <w:p w14:paraId="5565B44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工程内容</w:t>
            </w:r>
          </w:p>
        </w:tc>
        <w:tc>
          <w:tcPr>
            <w:tcW w:w="1276" w:type="dxa"/>
            <w:tcBorders>
              <w:top w:val="single" w:color="auto" w:sz="12" w:space="0"/>
              <w:bottom w:val="double" w:color="auto" w:sz="6" w:space="0"/>
            </w:tcBorders>
            <w:noWrap w:val="0"/>
            <w:vAlign w:val="top"/>
          </w:tcPr>
          <w:p w14:paraId="73C7786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金额</w:t>
            </w:r>
          </w:p>
        </w:tc>
      </w:tr>
      <w:tr w14:paraId="651DC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66FDD64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double" w:color="auto" w:sz="6" w:space="0"/>
              <w:bottom w:val="single" w:color="auto" w:sz="6" w:space="0"/>
            </w:tcBorders>
            <w:noWrap w:val="0"/>
            <w:vAlign w:val="top"/>
          </w:tcPr>
          <w:p w14:paraId="4E183D6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double" w:color="auto" w:sz="6" w:space="0"/>
              <w:bottom w:val="single" w:color="auto" w:sz="6" w:space="0"/>
            </w:tcBorders>
            <w:noWrap w:val="0"/>
            <w:vAlign w:val="top"/>
          </w:tcPr>
          <w:p w14:paraId="17E88B8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double" w:color="auto" w:sz="6" w:space="0"/>
              <w:bottom w:val="single" w:color="auto" w:sz="6" w:space="0"/>
            </w:tcBorders>
            <w:noWrap w:val="0"/>
            <w:vAlign w:val="top"/>
          </w:tcPr>
          <w:p w14:paraId="44C97E9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F4A9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718B59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tcBorders>
              <w:top w:val="nil"/>
            </w:tcBorders>
            <w:noWrap w:val="0"/>
            <w:vAlign w:val="top"/>
          </w:tcPr>
          <w:p w14:paraId="0568884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tcBorders>
              <w:top w:val="nil"/>
            </w:tcBorders>
            <w:noWrap w:val="0"/>
            <w:vAlign w:val="top"/>
          </w:tcPr>
          <w:p w14:paraId="74CAD91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tcBorders>
              <w:top w:val="nil"/>
            </w:tcBorders>
            <w:noWrap w:val="0"/>
            <w:vAlign w:val="top"/>
          </w:tcPr>
          <w:p w14:paraId="717BC21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653FF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CDE92B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6ABB63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3CCE0DD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0675D9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F187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9F711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C6EFA6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730031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D3909B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A3808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925454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13B7409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A1DDDA4">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1EA2DA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42A9D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E66B9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0E3C510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39AF5F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215DD4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4BCBA7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B58A30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9A6BE8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566C33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19CAC06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947A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9ED6BB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3DE8762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3957A7D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5A36B8F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C3D56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091D60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501B2B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7BD84F3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555ADD7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256112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AD3EBC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AF8516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238770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DDA5A1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FE74B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56C678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94F3787">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29A7A7D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0A99EDB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68F88C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D8F0B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534DA0F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6F0D1E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639C529F">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F515D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835AE8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BD7C8B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3C90721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66BBC2E0">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74FA97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9173A8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7B7FE8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21CC7F0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2B2B6DE5">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8B76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9407563">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2E13C61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1A79964D">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75503D19">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08A561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B858232">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6190E51E">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9188576">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38242658">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1D0347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11813B">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984" w:type="dxa"/>
            <w:noWrap w:val="0"/>
            <w:vAlign w:val="top"/>
          </w:tcPr>
          <w:p w14:paraId="46E2CE41">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4678" w:type="dxa"/>
            <w:noWrap w:val="0"/>
            <w:vAlign w:val="top"/>
          </w:tcPr>
          <w:p w14:paraId="069F9AD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c>
          <w:tcPr>
            <w:tcW w:w="1276" w:type="dxa"/>
            <w:noWrap w:val="0"/>
            <w:vAlign w:val="top"/>
          </w:tcPr>
          <w:p w14:paraId="4700683A">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p>
        </w:tc>
      </w:tr>
      <w:tr w14:paraId="3FB014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1DC4337C">
            <w:pPr>
              <w:pStyle w:val="9"/>
              <w:keepNext/>
              <w:pageBreakBefore w:val="0"/>
              <w:widowControl w:val="0"/>
              <w:kinsoku/>
              <w:wordWrap/>
              <w:overflowPunct/>
              <w:topLinePunct w:val="0"/>
              <w:bidi w:val="0"/>
              <w:snapToGrid/>
              <w:spacing w:after="0" w:afterLines="0" w:line="360" w:lineRule="auto"/>
              <w:ind w:left="63" w:right="63"/>
              <w:outlineLvl w:val="9"/>
              <w:rPr>
                <w:rFonts w:hint="eastAsia" w:ascii="仿宋" w:hAnsi="仿宋" w:eastAsia="仿宋" w:cs="仿宋"/>
                <w:color w:val="000000"/>
                <w:kern w:val="2"/>
                <w:sz w:val="28"/>
                <w:szCs w:val="28"/>
                <w:lang w:val="en-US" w:eastAsia="zh-CN"/>
              </w:rPr>
            </w:pPr>
            <w:r>
              <w:rPr>
                <w:rFonts w:hint="eastAsia" w:ascii="仿宋" w:hAnsi="仿宋" w:eastAsia="仿宋" w:cs="仿宋"/>
                <w:color w:val="000000"/>
                <w:kern w:val="2"/>
                <w:sz w:val="28"/>
                <w:szCs w:val="28"/>
                <w:lang w:val="en-US" w:eastAsia="zh-CN"/>
              </w:rPr>
              <w:t>小计：</w:t>
            </w:r>
          </w:p>
        </w:tc>
      </w:tr>
    </w:tbl>
    <w:p w14:paraId="41AD6E04">
      <w:pPr>
        <w:pageBreakBefore w:val="0"/>
        <w:widowControl w:val="0"/>
        <w:kinsoku/>
        <w:wordWrap/>
        <w:overflowPunct/>
        <w:topLinePunct w:val="0"/>
        <w:bidi w:val="0"/>
        <w:snapToGrid/>
        <w:spacing w:line="360" w:lineRule="auto"/>
        <w:rPr>
          <w:rFonts w:hint="eastAsia" w:ascii="仿宋" w:hAnsi="仿宋" w:eastAsia="仿宋" w:cs="仿宋"/>
          <w:sz w:val="28"/>
          <w:szCs w:val="28"/>
        </w:rPr>
      </w:pPr>
    </w:p>
    <w:sectPr>
      <w:headerReference r:id="rId10" w:type="default"/>
      <w:footerReference r:id="rId11"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auto"/>
    <w:pitch w:val="default"/>
    <w:sig w:usb0="00000000" w:usb1="0000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E9645">
    <w:pPr>
      <w:pStyle w:val="13"/>
      <w:jc w:val="center"/>
      <w:rPr>
        <w:rFonts w:hint="default"/>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5420C">
    <w:pPr>
      <w:pStyle w:val="13"/>
      <w:jc w:val="center"/>
      <w:rPr>
        <w:rFonts w:hint="default"/>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D6349">
    <w:pPr>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EC69B">
    <w:pPr>
      <w:pStyle w:val="13"/>
      <w:jc w:val="cen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D3CE5">
    <w:pPr>
      <w:pStyle w:val="14"/>
      <w:pBdr>
        <w:bottom w:val="none" w:color="auto" w:sz="0"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D462E">
    <w:pPr>
      <w:pStyle w:val="14"/>
      <w:pBdr>
        <w:bottom w:val="single" w:color="auto" w:sz="6" w:space="0"/>
      </w:pBdr>
      <w:jc w:val="right"/>
      <w:rPr>
        <w:rFonts w:ascii="宋体" w:hAnsi="宋体"/>
      </w:rPr>
    </w:pPr>
    <w:r>
      <w:rPr>
        <w:rFonts w:hint="eastAsia" w:ascii="宋体" w:hAnsi="宋体"/>
      </w:rPr>
      <w:t xml:space="preserve"> 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213DD">
    <w:pPr>
      <w:pStyle w:val="14"/>
      <w:pBdr>
        <w:bottom w:val="none" w:color="auto" w:sz="0" w:space="0"/>
      </w:pBdr>
      <w:jc w:val="right"/>
      <w:rPr>
        <w:rFonts w:ascii="宋体" w:hAnsi="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7C46E2C"/>
    <w:rsid w:val="23D16129"/>
    <w:rsid w:val="25E15FBC"/>
    <w:rsid w:val="3D6E1FF0"/>
    <w:rsid w:val="3E413E27"/>
    <w:rsid w:val="59150BB1"/>
    <w:rsid w:val="6352572C"/>
    <w:rsid w:val="735E0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5"/>
    <w:qFormat/>
    <w:uiPriority w:val="0"/>
    <w:pPr>
      <w:keepNext/>
      <w:keepLines/>
      <w:spacing w:before="260" w:after="260" w:line="416" w:lineRule="auto"/>
      <w:outlineLvl w:val="1"/>
    </w:pPr>
    <w:rPr>
      <w:rFonts w:ascii="Arial" w:hAnsi="Arial" w:eastAsia="黑体"/>
      <w:b/>
      <w:bCs/>
      <w:kern w:val="0"/>
      <w:sz w:val="32"/>
      <w:szCs w:val="32"/>
    </w:rPr>
  </w:style>
  <w:style w:type="paragraph" w:styleId="6">
    <w:name w:val="heading 3"/>
    <w:basedOn w:val="1"/>
    <w:next w:val="1"/>
    <w:qFormat/>
    <w:uiPriority w:val="99"/>
    <w:pPr>
      <w:keepNext/>
      <w:keepLines/>
      <w:spacing w:before="120" w:after="120" w:line="360" w:lineRule="auto"/>
      <w:ind w:firstLine="200" w:firstLineChars="200"/>
      <w:jc w:val="center"/>
      <w:outlineLvl w:val="2"/>
    </w:pPr>
    <w:rPr>
      <w:b/>
      <w:bCs/>
      <w:sz w:val="36"/>
      <w:szCs w:val="32"/>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character" w:default="1" w:styleId="19">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8">
    <w:name w:val="annotation text"/>
    <w:basedOn w:val="1"/>
    <w:qFormat/>
    <w:uiPriority w:val="0"/>
    <w:pPr>
      <w:jc w:val="left"/>
    </w:pPr>
    <w:rPr>
      <w:rFonts w:eastAsia="宋体"/>
      <w:sz w:val="21"/>
    </w:rPr>
  </w:style>
  <w:style w:type="paragraph" w:styleId="9">
    <w:name w:val="Body Text"/>
    <w:basedOn w:val="1"/>
    <w:qFormat/>
    <w:uiPriority w:val="1"/>
    <w:rPr>
      <w:color w:val="993300"/>
      <w:sz w:val="24"/>
    </w:rPr>
  </w:style>
  <w:style w:type="paragraph" w:styleId="10">
    <w:name w:val="Body Text Indent"/>
    <w:basedOn w:val="1"/>
    <w:next w:val="1"/>
    <w:qFormat/>
    <w:uiPriority w:val="0"/>
    <w:pPr>
      <w:ind w:firstLine="600" w:firstLineChars="200"/>
    </w:pPr>
    <w:rPr>
      <w:rFonts w:ascii="宋体" w:hAnsi="宋体"/>
      <w:kern w:val="0"/>
      <w:sz w:val="30"/>
      <w:szCs w:val="20"/>
    </w:rPr>
  </w:style>
  <w:style w:type="paragraph" w:styleId="11">
    <w:name w:val="Block Text"/>
    <w:basedOn w:val="1"/>
    <w:qFormat/>
    <w:uiPriority w:val="0"/>
    <w:pPr>
      <w:ind w:left="2" w:right="25" w:rightChars="12" w:hanging="2"/>
    </w:pPr>
    <w:rPr>
      <w:rFonts w:ascii="楷体_GB2312" w:hAnsi="Times New Roman" w:eastAsia="楷体_GB2312" w:cs="Times New Roman"/>
      <w:szCs w:val="22"/>
    </w:rPr>
  </w:style>
  <w:style w:type="paragraph" w:styleId="12">
    <w:name w:val="Plain Text"/>
    <w:basedOn w:val="1"/>
    <w:qFormat/>
    <w:uiPriority w:val="99"/>
    <w:rPr>
      <w:rFonts w:ascii="宋体" w:hAnsi="Courier New"/>
      <w:szCs w:val="21"/>
    </w:rPr>
  </w:style>
  <w:style w:type="paragraph" w:styleId="13">
    <w:name w:val="footer"/>
    <w:basedOn w:val="1"/>
    <w:qFormat/>
    <w:uiPriority w:val="99"/>
    <w:pPr>
      <w:tabs>
        <w:tab w:val="center" w:pos="4153"/>
        <w:tab w:val="right" w:pos="8306"/>
      </w:tabs>
      <w:snapToGrid w:val="0"/>
      <w:jc w:val="left"/>
    </w:pPr>
    <w:rPr>
      <w:rFonts w:eastAsia="宋体"/>
      <w:sz w:val="18"/>
      <w:szCs w:val="18"/>
    </w:rPr>
  </w:style>
  <w:style w:type="paragraph" w:styleId="14">
    <w:name w:val="header"/>
    <w:basedOn w:val="1"/>
    <w:qFormat/>
    <w:uiPriority w:val="99"/>
    <w:pPr>
      <w:pBdr>
        <w:bottom w:val="single" w:color="auto" w:sz="6" w:space="1"/>
      </w:pBdr>
      <w:tabs>
        <w:tab w:val="center" w:pos="4153"/>
        <w:tab w:val="right" w:pos="8306"/>
      </w:tabs>
      <w:snapToGrid w:val="0"/>
      <w:spacing w:line="240" w:lineRule="auto"/>
      <w:jc w:val="center"/>
    </w:pPr>
    <w:rPr>
      <w:rFonts w:eastAsia="宋体"/>
      <w:sz w:val="18"/>
      <w:szCs w:val="18"/>
    </w:rPr>
  </w:style>
  <w:style w:type="paragraph" w:styleId="15">
    <w:name w:val="toc 1"/>
    <w:basedOn w:val="1"/>
    <w:next w:val="1"/>
    <w:qFormat/>
    <w:uiPriority w:val="0"/>
  </w:style>
  <w:style w:type="paragraph" w:styleId="16">
    <w:name w:val="Normal (Web)"/>
    <w:basedOn w:val="1"/>
    <w:qFormat/>
    <w:uiPriority w:val="0"/>
    <w:pPr>
      <w:widowControl/>
      <w:spacing w:before="100" w:beforeAutospacing="1" w:after="100" w:afterAutospacing="1" w:line="320" w:lineRule="atLeast"/>
      <w:jc w:val="left"/>
    </w:pPr>
    <w:rPr>
      <w:rFonts w:ascii="宋体" w:hAnsi="宋体" w:eastAsia="宋体" w:cs="Times New Roman"/>
      <w:kern w:val="0"/>
      <w:sz w:val="18"/>
      <w:szCs w:val="18"/>
    </w:rPr>
  </w:style>
  <w:style w:type="paragraph" w:styleId="17">
    <w:name w:val="Body Text First Indent 2"/>
    <w:basedOn w:val="10"/>
    <w:next w:val="1"/>
    <w:qFormat/>
    <w:uiPriority w:val="0"/>
    <w:pPr>
      <w:spacing w:after="120"/>
      <w:ind w:firstLine="420" w:firstLineChars="200"/>
    </w:pPr>
    <w:rPr>
      <w:rFonts w:ascii="Times New Roman" w:eastAsia="宋?"/>
    </w:rPr>
  </w:style>
  <w:style w:type="character" w:styleId="20">
    <w:name w:val="annotation reference"/>
    <w:unhideWhenUsed/>
    <w:qFormat/>
    <w:uiPriority w:val="0"/>
    <w:rPr>
      <w:sz w:val="21"/>
      <w:szCs w:val="21"/>
    </w:rPr>
  </w:style>
  <w:style w:type="paragraph" w:customStyle="1" w:styleId="21">
    <w:name w:val="_Style 5"/>
    <w:basedOn w:val="3"/>
    <w:next w:val="1"/>
    <w:autoRedefine/>
    <w:qFormat/>
    <w:uiPriority w:val="0"/>
    <w:pPr>
      <w:outlineLvl w:val="9"/>
    </w:pPr>
  </w:style>
  <w:style w:type="paragraph" w:customStyle="1" w:styleId="22">
    <w:name w:val="null3"/>
    <w:hidden/>
    <w:qFormat/>
    <w:uiPriority w:val="0"/>
    <w:rPr>
      <w:rFonts w:hint="eastAsia" w:asciiTheme="minorHAnsi" w:hAnsiTheme="minorHAnsi" w:eastAsiaTheme="minorEastAsia" w:cstheme="minorBidi"/>
      <w:lang w:val="en-US" w:eastAsia="zh-Hans"/>
    </w:rPr>
  </w:style>
  <w:style w:type="paragraph" w:customStyle="1" w:styleId="23">
    <w:name w:val="_Style 6"/>
    <w:basedOn w:val="3"/>
    <w:next w:val="1"/>
    <w:qFormat/>
    <w:uiPriority w:val="0"/>
    <w:pPr>
      <w:spacing w:before="340" w:after="330" w:line="578" w:lineRule="auto"/>
      <w:outlineLvl w:val="9"/>
    </w:pPr>
    <w:rPr>
      <w:rFonts w:ascii="Calibri" w:hAnsi="Calibri"/>
      <w:sz w:val="44"/>
    </w:rPr>
  </w:style>
  <w:style w:type="paragraph" w:customStyle="1" w:styleId="24">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53100</Words>
  <Characters>55247</Characters>
  <Lines>0</Lines>
  <Paragraphs>0</Paragraphs>
  <TotalTime>0</TotalTime>
  <ScaleCrop>false</ScaleCrop>
  <LinksUpToDate>false</LinksUpToDate>
  <CharactersWithSpaces>55917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2024-04-23T07:58:00Z</dcterms:created>
  <dc:creator>admin</dc:creator>
  <cp:lastModifiedBy>H</cp:lastModifiedBy>
  <dcterms:modified xsi:type="dcterms:W3CDTF">2025-09-15T04:43:32Z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D1E5F96A39674452B56B15F880F34956_12</vt:lpwstr>
  </property>
  <property fmtid="{D5CDD505-2E9C-101B-9397-08002B2CF9AE}" pid="4" name="KSOTemplateDocerSaveRecord">
    <vt:lpwstr>eyJoZGlkIjoiNWVlZWQ2MGQxNmE1ODQyMmRiYjA3Yzk4MTMyMWVjOGQiLCJ1c2VySWQiOiI1MjUwOTc0MjQifQ==</vt:lpwstr>
  </property>
</Properties>
</file>