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版本号：正衡招字-[2025]-726号20250917001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西安市碑林区人民政府机关（南院门27号）餐厅承包服务项目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正衡招字-[2025]-726号</w:t>
      </w:r>
      <w:r>
        <w:br/>
      </w:r>
      <w:r>
        <w:br/>
      </w:r>
      <w:r>
        <w:br/>
      </w:r>
    </w:p>
    <w:p>
      <w:pPr>
        <w:pStyle w:val="null3"/>
        <w:jc w:val="center"/>
        <w:outlineLvl w:val="2"/>
      </w:pPr>
      <w:r>
        <w:rPr>
          <w:rFonts w:ascii="仿宋_GB2312" w:hAnsi="仿宋_GB2312" w:cs="仿宋_GB2312" w:eastAsia="仿宋_GB2312"/>
          <w:sz w:val="28"/>
          <w:b/>
        </w:rPr>
        <w:t>西安市碑林区机关事务服务中心（本级）</w:t>
      </w:r>
    </w:p>
    <w:p>
      <w:pPr>
        <w:pStyle w:val="null3"/>
        <w:jc w:val="center"/>
        <w:outlineLvl w:val="2"/>
      </w:pPr>
      <w:r>
        <w:rPr>
          <w:rFonts w:ascii="仿宋_GB2312" w:hAnsi="仿宋_GB2312" w:cs="仿宋_GB2312" w:eastAsia="仿宋_GB2312"/>
          <w:sz w:val="28"/>
          <w:b/>
        </w:rPr>
        <w:t>正衡工程项目管理有限公司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正衡工程项目管理有限公司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西安市碑林区机关事务服务中心（本级）</w:t>
      </w:r>
      <w:r>
        <w:rPr>
          <w:rFonts w:ascii="仿宋_GB2312" w:hAnsi="仿宋_GB2312" w:cs="仿宋_GB2312" w:eastAsia="仿宋_GB2312"/>
        </w:rPr>
        <w:t>委托，拟对</w:t>
      </w:r>
      <w:r>
        <w:rPr>
          <w:rFonts w:ascii="仿宋_GB2312" w:hAnsi="仿宋_GB2312" w:cs="仿宋_GB2312" w:eastAsia="仿宋_GB2312"/>
        </w:rPr>
        <w:t>西安市碑林区人民政府机关（南院门27号）餐厅承包服务项目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正衡招字-[2025]-726号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西安市碑林区人民政府机关（南院门27号）餐厅承包服务项目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南院门27号院职工餐厅就餐人员大约早餐500人次、午餐700人次、晚餐100人次，餐厅、主副操作间、就餐区面积、桌椅等供应商可自行到现场勘查，自行负责因踏勘所产生的费用和其他一切后果。 服务内容：餐厅清洁保洁、设备管理维护、一日三餐制作、易耗品保护（碗筷清洗）、安全防护（水、电、气、火灾、食品安全）、人员管理、就餐人员秩序管理等相关餐厅事务。 菜品要求（不限于）： 1、早餐：小菜、稀饭、豆浆等，主食类：馒头、油饼、包子、花卷等； 2、午餐/晚餐：热菜、小吃、面食、汤、米饭等。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1、（1）法定代表人直接参加磋商的 ，须出具法定代表人身份证明，法定代表人授权代表参加磋商的，须出具法定代表人授权书； （2）未被“中国执行信息公开网”网站（http://zxgk.court.gov.cn/）列入失信被执行人名单，未被“信用中国” 网站（www.creditchina.gov.cn ）列入重大税收违法案件当事人名单，未被“中国政府采购网”（www.ccgp.gov.cn）列入政府采购严重违法失信行为记录名单被财政部门禁止参加政府采购活动（处罚决定规定的时间和地域范围内）； （3）不接受联合体磋商。：（1）法定代表人直接参加磋商的 ，须出具法定代表人身份证明，法定代表人授权代表参加磋商的，须出具法定代表人授权书； （2）未被“中国执行信息公开网”网站（http://zxgk.court.gov.cn/）列入失信被执行人名单，未被“信用中国” 网站（www.creditchina.gov.cn ）列入重大税收违法案件当事人名单，未被“中国政府采购网”（www.ccgp.gov.cn）列入政府采购严重违法失信行为记录名单被财政部门禁止参加政府采购活动（处罚决定规定的时间和地域范围内）； （3）不接受联合体磋商。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西安市碑林区机关事务服务中心（本级）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西安市碑林区南院门27号院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029-89625611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正衡工程项目管理有限公司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西安市航天基地雁塔南路391号正衡金融广场A座18楼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王俊杰、秦丹丹、史鉴澍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029-87373098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杨志刚</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代理服务费收费标准：由成交供应商按国家计委颁发的《招标代理服务收费管理暂行办法》（ 计价格[2002]1980号）的标准下浮20％计取，在领取成交通知书时向采购代理机构一次付清招标代理服务费。 招标代理费缴纳到以下账号：户名：正衡工程项目管理有限公司 账号：129902420310901 开户行：招商银行西安和平路支行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西安市碑林区机关事务服务中心（本级）</w:t>
      </w:r>
      <w:r>
        <w:rPr>
          <w:rFonts w:ascii="仿宋_GB2312" w:hAnsi="仿宋_GB2312" w:cs="仿宋_GB2312" w:eastAsia="仿宋_GB2312"/>
        </w:rPr>
        <w:t>和</w:t>
      </w:r>
      <w:r>
        <w:rPr>
          <w:rFonts w:ascii="仿宋_GB2312" w:hAnsi="仿宋_GB2312" w:cs="仿宋_GB2312" w:eastAsia="仿宋_GB2312"/>
        </w:rPr>
        <w:t>正衡工程项目管理有限公司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西安市碑林区机关事务服务中心（本级）</w:t>
      </w:r>
      <w:r>
        <w:rPr>
          <w:rFonts w:ascii="仿宋_GB2312" w:hAnsi="仿宋_GB2312" w:cs="仿宋_GB2312" w:eastAsia="仿宋_GB2312"/>
        </w:rPr>
        <w:t>负责解释。除上述磋商文件内容，其他内容由</w:t>
      </w:r>
      <w:r>
        <w:rPr>
          <w:rFonts w:ascii="仿宋_GB2312" w:hAnsi="仿宋_GB2312" w:cs="仿宋_GB2312" w:eastAsia="仿宋_GB2312"/>
        </w:rPr>
        <w:t>正衡工程项目管理有限公司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西安市碑林区机关事务服务中心（本级）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正衡工程项目管理有限公司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详见最终签订合同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联系人：王俊杰、秦丹丹、史鉴澍</w:t>
      </w:r>
    </w:p>
    <w:p>
      <w:pPr>
        <w:pStyle w:val="null3"/>
      </w:pPr>
      <w:r>
        <w:rPr>
          <w:rFonts w:ascii="仿宋_GB2312" w:hAnsi="仿宋_GB2312" w:cs="仿宋_GB2312" w:eastAsia="仿宋_GB2312"/>
        </w:rPr>
        <w:t>联系电话：029-87373098</w:t>
      </w:r>
    </w:p>
    <w:p>
      <w:pPr>
        <w:pStyle w:val="null3"/>
      </w:pPr>
      <w:r>
        <w:rPr>
          <w:rFonts w:ascii="仿宋_GB2312" w:hAnsi="仿宋_GB2312" w:cs="仿宋_GB2312" w:eastAsia="仿宋_GB2312"/>
        </w:rPr>
        <w:t>地址：西安市航天基地雁塔南路391号正衡金融广场A座18楼</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南院门27号院职工餐厅就餐人员大约早餐500人次、午餐700人次、晚餐100人次，餐厅、主副操作间、就餐区面积、桌椅等供应商可自行到现场勘查，自行负责因踏勘所产生的费用和其他一切后果。 服务内容：餐厅清洁保洁、设备管理维护、一日三餐制作、易耗品保护（碗筷清洗）、安全防护（水、电、气、火灾、食品安全）、人员管理、就餐人员秩序管理等相关餐厅事务。 菜品要求（不限于）： 1、早餐：小菜、稀饭、豆浆等，主食类：馒头、油饼、包子、花卷等； 2、午餐/晚餐：热菜、小吃、面食、汤、米饭等。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1,570,000.00</w:t>
      </w:r>
    </w:p>
    <w:p>
      <w:pPr>
        <w:pStyle w:val="null3"/>
      </w:pPr>
      <w:r>
        <w:rPr>
          <w:rFonts w:ascii="仿宋_GB2312" w:hAnsi="仿宋_GB2312" w:cs="仿宋_GB2312" w:eastAsia="仿宋_GB2312"/>
        </w:rPr>
        <w:t>采购包最高限价（元）: 1,570,000.00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1570000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标的名称：1570000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9"/>
              <w:gridCol w:w="283"/>
              <w:gridCol w:w="2072"/>
            </w:tblGrid>
            <w:tr>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一、项目概况</w:t>
                  </w:r>
                </w:p>
                <w:p>
                  <w:pPr>
                    <w:pStyle w:val="null3"/>
                    <w:ind w:firstLine="400"/>
                    <w:jc w:val="both"/>
                  </w:pPr>
                  <w:r>
                    <w:rPr>
                      <w:rFonts w:ascii="仿宋_GB2312" w:hAnsi="仿宋_GB2312" w:cs="仿宋_GB2312" w:eastAsia="仿宋_GB2312"/>
                      <w:sz w:val="20"/>
                    </w:rPr>
                    <w:t>机关</w:t>
                  </w:r>
                  <w:r>
                    <w:rPr>
                      <w:rFonts w:ascii="仿宋_GB2312" w:hAnsi="仿宋_GB2312" w:cs="仿宋_GB2312" w:eastAsia="仿宋_GB2312"/>
                      <w:sz w:val="20"/>
                    </w:rPr>
                    <w:t>餐厅就餐人员大约早餐</w:t>
                  </w:r>
                  <w:r>
                    <w:rPr>
                      <w:rFonts w:ascii="仿宋_GB2312" w:hAnsi="仿宋_GB2312" w:cs="仿宋_GB2312" w:eastAsia="仿宋_GB2312"/>
                      <w:sz w:val="20"/>
                    </w:rPr>
                    <w:t>500人次、午餐700人次、晚餐100人次，餐厅、主副操作间、</w:t>
                  </w:r>
                  <w:r>
                    <w:rPr>
                      <w:rFonts w:ascii="仿宋_GB2312" w:hAnsi="仿宋_GB2312" w:cs="仿宋_GB2312" w:eastAsia="仿宋_GB2312"/>
                      <w:sz w:val="20"/>
                    </w:rPr>
                    <w:t>就餐区</w:t>
                  </w:r>
                  <w:r>
                    <w:rPr>
                      <w:rFonts w:ascii="仿宋_GB2312" w:hAnsi="仿宋_GB2312" w:cs="仿宋_GB2312" w:eastAsia="仿宋_GB2312"/>
                      <w:sz w:val="20"/>
                    </w:rPr>
                    <w:t>面积，桌椅等供应商可自行到现场勘查，自行负责因踏勘所产生的费用和其他一切后果。</w:t>
                  </w:r>
                </w:p>
                <w:p>
                  <w:pPr>
                    <w:pStyle w:val="null3"/>
                    <w:ind w:firstLine="400"/>
                    <w:jc w:val="both"/>
                  </w:pPr>
                  <w:r>
                    <w:rPr>
                      <w:rFonts w:ascii="仿宋_GB2312" w:hAnsi="仿宋_GB2312" w:cs="仿宋_GB2312" w:eastAsia="仿宋_GB2312"/>
                      <w:sz w:val="20"/>
                    </w:rPr>
                    <w:t>服务内容：餐厅清洁保洁、设备管理维护、一日三餐制作、易耗品保护（碗筷清洗）、安全防护（水、电、气、火灾、食品安全）、人员管理、就餐人员秩序管理等相关餐厅事务。</w:t>
                  </w:r>
                </w:p>
                <w:p>
                  <w:pPr>
                    <w:pStyle w:val="null3"/>
                    <w:jc w:val="both"/>
                  </w:pPr>
                  <w:r>
                    <w:rPr>
                      <w:rFonts w:ascii="仿宋_GB2312" w:hAnsi="仿宋_GB2312" w:cs="仿宋_GB2312" w:eastAsia="仿宋_GB2312"/>
                      <w:sz w:val="20"/>
                    </w:rPr>
                    <w:t>菜品要求（不限于）：</w:t>
                  </w:r>
                </w:p>
                <w:p>
                  <w:pPr>
                    <w:pStyle w:val="null3"/>
                    <w:jc w:val="both"/>
                  </w:pPr>
                  <w:r>
                    <w:rPr>
                      <w:rFonts w:ascii="仿宋_GB2312" w:hAnsi="仿宋_GB2312" w:cs="仿宋_GB2312" w:eastAsia="仿宋_GB2312"/>
                      <w:sz w:val="20"/>
                    </w:rPr>
                    <w:t>1、早餐：小菜、稀饭、豆浆等，主食类：馒头、油饼、包子、花卷等。</w:t>
                  </w:r>
                </w:p>
                <w:p>
                  <w:pPr>
                    <w:pStyle w:val="null3"/>
                    <w:jc w:val="both"/>
                  </w:pPr>
                  <w:r>
                    <w:rPr>
                      <w:rFonts w:ascii="仿宋_GB2312" w:hAnsi="仿宋_GB2312" w:cs="仿宋_GB2312" w:eastAsia="仿宋_GB2312"/>
                      <w:sz w:val="20"/>
                    </w:rPr>
                    <w:t>2、午餐/晚餐：热菜、小吃、面食、汤、米饭等。</w:t>
                  </w:r>
                </w:p>
              </w:tc>
            </w:tr>
            <w:tr>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二、服务内容</w:t>
                  </w:r>
                </w:p>
                <w:p>
                  <w:pPr>
                    <w:pStyle w:val="null3"/>
                    <w:ind w:firstLine="400"/>
                    <w:jc w:val="both"/>
                  </w:pPr>
                  <w:r>
                    <w:rPr>
                      <w:rFonts w:ascii="仿宋_GB2312" w:hAnsi="仿宋_GB2312" w:cs="仿宋_GB2312" w:eastAsia="仿宋_GB2312"/>
                      <w:sz w:val="20"/>
                    </w:rPr>
                    <w:t>1、采购人免费提供供餐场地、制作场地、收银设备、餐厅及后厨设备、厨具及餐具（一次性餐具除外）、承担水、电、气和正常维修费用。供应商根据本项目的用餐人数、规模及采购人要求，为就餐地点合理配备经理（</w:t>
                  </w:r>
                  <w:r>
                    <w:rPr>
                      <w:rFonts w:ascii="仿宋_GB2312" w:hAnsi="仿宋_GB2312" w:cs="仿宋_GB2312" w:eastAsia="仿宋_GB2312"/>
                      <w:sz w:val="20"/>
                    </w:rPr>
                    <w:t>1</w:t>
                  </w:r>
                  <w:r>
                    <w:rPr>
                      <w:rFonts w:ascii="仿宋_GB2312" w:hAnsi="仿宋_GB2312" w:cs="仿宋_GB2312" w:eastAsia="仿宋_GB2312"/>
                      <w:sz w:val="20"/>
                    </w:rPr>
                    <w:t>名）、厨师长（</w:t>
                  </w:r>
                  <w:r>
                    <w:rPr>
                      <w:rFonts w:ascii="仿宋_GB2312" w:hAnsi="仿宋_GB2312" w:cs="仿宋_GB2312" w:eastAsia="仿宋_GB2312"/>
                      <w:sz w:val="20"/>
                    </w:rPr>
                    <w:t>1名，具备三级及以上中式烹调师证书）、厨师（至少4人，具备四级及以上中式烹调师证书）、面点师（至少4人）、切配员、洗削工、服务员等若干，拟投入团队人数总</w:t>
                  </w:r>
                  <w:r>
                    <w:rPr>
                      <w:rFonts w:ascii="仿宋_GB2312" w:hAnsi="仿宋_GB2312" w:cs="仿宋_GB2312" w:eastAsia="仿宋_GB2312"/>
                      <w:sz w:val="20"/>
                    </w:rPr>
                    <w:t>计不少于</w:t>
                  </w:r>
                  <w:r>
                    <w:rPr>
                      <w:rFonts w:ascii="仿宋_GB2312" w:hAnsi="仿宋_GB2312" w:cs="仿宋_GB2312" w:eastAsia="仿宋_GB2312"/>
                      <w:sz w:val="20"/>
                      <w:b/>
                    </w:rPr>
                    <w:t>2</w:t>
                  </w:r>
                  <w:r>
                    <w:rPr>
                      <w:rFonts w:ascii="仿宋_GB2312" w:hAnsi="仿宋_GB2312" w:cs="仿宋_GB2312" w:eastAsia="仿宋_GB2312"/>
                      <w:sz w:val="20"/>
                      <w:b/>
                    </w:rPr>
                    <w:t>6</w:t>
                  </w:r>
                  <w:r>
                    <w:rPr>
                      <w:rFonts w:ascii="仿宋_GB2312" w:hAnsi="仿宋_GB2312" w:cs="仿宋_GB2312" w:eastAsia="仿宋_GB2312"/>
                      <w:sz w:val="20"/>
                    </w:rPr>
                    <w:t>人</w:t>
                  </w:r>
                  <w:r>
                    <w:rPr>
                      <w:rFonts w:ascii="仿宋_GB2312" w:hAnsi="仿宋_GB2312" w:cs="仿宋_GB2312" w:eastAsia="仿宋_GB2312"/>
                      <w:sz w:val="20"/>
                    </w:rPr>
                    <w:t>。男性年龄均须在</w:t>
                  </w:r>
                  <w:r>
                    <w:rPr>
                      <w:rFonts w:ascii="仿宋_GB2312" w:hAnsi="仿宋_GB2312" w:cs="仿宋_GB2312" w:eastAsia="仿宋_GB2312"/>
                      <w:sz w:val="20"/>
                    </w:rPr>
                    <w:t>18-55岁之间，女性年龄均须在18-50岁之间。总报价为服务过程中产生的所有费用，包括但不限于人工费（含工服费）、社会保障费、办公用品、生活用品、保险费、管理费、培训费、税金等其他一切相关费用。</w:t>
                  </w:r>
                </w:p>
                <w:p>
                  <w:pPr>
                    <w:pStyle w:val="null3"/>
                    <w:ind w:firstLine="400"/>
                  </w:pPr>
                  <w:r>
                    <w:rPr>
                      <w:rFonts w:ascii="仿宋_GB2312" w:hAnsi="仿宋_GB2312" w:cs="仿宋_GB2312" w:eastAsia="仿宋_GB2312"/>
                      <w:sz w:val="20"/>
                    </w:rPr>
                    <w:t>2、</w:t>
                  </w:r>
                  <w:r>
                    <w:rPr>
                      <w:rFonts w:ascii="仿宋_GB2312" w:hAnsi="仿宋_GB2312" w:cs="仿宋_GB2312" w:eastAsia="仿宋_GB2312"/>
                      <w:sz w:val="20"/>
                    </w:rPr>
                    <w:t>合同期间，供应商及其工作人员一切安全责任及损失由供应商自行负责，采购人概不承担。</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、采购人承担食材采购费用。供应商按照采购人规定的用餐标准及要求制定菜谱及就餐形式，每周</w:t>
                  </w:r>
                  <w:r>
                    <w:rPr>
                      <w:rFonts w:ascii="仿宋_GB2312" w:hAnsi="仿宋_GB2312" w:cs="仿宋_GB2312" w:eastAsia="仿宋_GB2312"/>
                      <w:sz w:val="20"/>
                    </w:rPr>
                    <w:t>内</w:t>
                  </w:r>
                  <w:r>
                    <w:rPr>
                      <w:rFonts w:ascii="仿宋_GB2312" w:hAnsi="仿宋_GB2312" w:cs="仿宋_GB2312" w:eastAsia="仿宋_GB2312"/>
                      <w:sz w:val="20"/>
                    </w:rPr>
                    <w:t>菜品不重复，做到营养搭配、均衡膳食，每周</w:t>
                  </w:r>
                  <w:r>
                    <w:rPr>
                      <w:rFonts w:ascii="仿宋_GB2312" w:hAnsi="仿宋_GB2312" w:cs="仿宋_GB2312" w:eastAsia="仿宋_GB2312"/>
                      <w:sz w:val="20"/>
                    </w:rPr>
                    <w:t>三</w:t>
                  </w:r>
                  <w:r>
                    <w:rPr>
                      <w:rFonts w:ascii="仿宋_GB2312" w:hAnsi="仿宋_GB2312" w:cs="仿宋_GB2312" w:eastAsia="仿宋_GB2312"/>
                      <w:sz w:val="20"/>
                    </w:rPr>
                    <w:t>出下周菜单交于采购人审核。</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、供应商应保证所录用人员身体健康、无传染性疾病、无刑事违法或犯罪记录，所有从业人员经过岗前培训、健康检查合格且拥有健康证；服务人员按岗位统一着装，言行规范，文明礼貌</w:t>
                  </w:r>
                  <w:r>
                    <w:rPr>
                      <w:rFonts w:ascii="仿宋_GB2312" w:hAnsi="仿宋_GB2312" w:cs="仿宋_GB2312" w:eastAsia="仿宋_GB2312"/>
                      <w:sz w:val="20"/>
                    </w:rPr>
                    <w:t>。</w:t>
                  </w:r>
                  <w:r>
                    <w:rPr>
                      <w:rFonts w:ascii="仿宋_GB2312" w:hAnsi="仿宋_GB2312" w:cs="仿宋_GB2312" w:eastAsia="仿宋_GB2312"/>
                      <w:sz w:val="20"/>
                    </w:rPr>
                    <w:t>体检费用、服装</w:t>
                  </w:r>
                  <w:r>
                    <w:rPr>
                      <w:rFonts w:ascii="仿宋_GB2312" w:hAnsi="仿宋_GB2312" w:cs="仿宋_GB2312" w:eastAsia="仿宋_GB2312"/>
                      <w:sz w:val="20"/>
                    </w:rPr>
                    <w:t>费用由供应商承担。</w:t>
                  </w:r>
                </w:p>
              </w:tc>
            </w:tr>
            <w:tr>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三、工作要求</w:t>
                  </w:r>
                </w:p>
                <w:p>
                  <w:pPr>
                    <w:pStyle w:val="null3"/>
                    <w:ind w:firstLine="400"/>
                    <w:jc w:val="both"/>
                  </w:pPr>
                  <w:r>
                    <w:rPr>
                      <w:rFonts w:ascii="仿宋_GB2312" w:hAnsi="仿宋_GB2312" w:cs="仿宋_GB2312" w:eastAsia="仿宋_GB2312"/>
                      <w:sz w:val="20"/>
                    </w:rPr>
                    <w:t>1、消毒间人员熟知消毒液的配置比例和允许使用的时间，严格按照配比标准配置消毒液并在规定的时间内使用。</w:t>
                  </w:r>
                </w:p>
                <w:p>
                  <w:pPr>
                    <w:pStyle w:val="null3"/>
                    <w:ind w:firstLine="400"/>
                    <w:jc w:val="both"/>
                  </w:pPr>
                  <w:r>
                    <w:rPr>
                      <w:rFonts w:ascii="仿宋_GB2312" w:hAnsi="仿宋_GB2312" w:cs="仿宋_GB2312" w:eastAsia="仿宋_GB2312"/>
                      <w:sz w:val="20"/>
                    </w:rPr>
                    <w:t>2、坚持洗消工序：即去残渣、洗涤剂洗刷、净水冲、热力消毒四道工序，消毒温度达到标准。</w:t>
                  </w:r>
                </w:p>
                <w:p>
                  <w:pPr>
                    <w:pStyle w:val="null3"/>
                    <w:ind w:firstLine="400"/>
                    <w:jc w:val="both"/>
                  </w:pPr>
                  <w:r>
                    <w:rPr>
                      <w:rFonts w:ascii="仿宋_GB2312" w:hAnsi="仿宋_GB2312" w:cs="仿宋_GB2312" w:eastAsia="仿宋_GB2312"/>
                      <w:sz w:val="20"/>
                    </w:rPr>
                    <w:t>3、消毒后的备用餐具、</w:t>
                  </w:r>
                  <w:r>
                    <w:rPr>
                      <w:rFonts w:ascii="仿宋_GB2312" w:hAnsi="仿宋_GB2312" w:cs="仿宋_GB2312" w:eastAsia="仿宋_GB2312"/>
                      <w:sz w:val="20"/>
                    </w:rPr>
                    <w:t>厨</w:t>
                  </w:r>
                  <w:r>
                    <w:rPr>
                      <w:rFonts w:ascii="仿宋_GB2312" w:hAnsi="仿宋_GB2312" w:cs="仿宋_GB2312" w:eastAsia="仿宋_GB2312"/>
                      <w:sz w:val="20"/>
                    </w:rPr>
                    <w:t>具要有专柜储存、整洁有序，无杂物，无油垢。</w:t>
                  </w:r>
                </w:p>
                <w:p>
                  <w:pPr>
                    <w:pStyle w:val="null3"/>
                    <w:ind w:firstLine="400"/>
                    <w:jc w:val="both"/>
                  </w:pPr>
                  <w:r>
                    <w:rPr>
                      <w:rFonts w:ascii="仿宋_GB2312" w:hAnsi="仿宋_GB2312" w:cs="仿宋_GB2312" w:eastAsia="仿宋_GB2312"/>
                      <w:sz w:val="20"/>
                    </w:rPr>
                    <w:t>4、后厨、食堂必须严格按照每日一小扫，每周一大扫制度进行卫生打扫，后厨、食堂、冷库必须随时保持整洁物品堆放整齐。</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废弃物按垃圾分类标准正确归类投放，做到不暴露，不积压，不外溢。</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、在餐厅管理服务中，应本着节约、绿色、环保、节能的原则，自觉节约水、电、油、气、粮食等</w:t>
                  </w:r>
                  <w:r>
                    <w:rPr>
                      <w:rFonts w:ascii="仿宋_GB2312" w:hAnsi="仿宋_GB2312" w:cs="仿宋_GB2312" w:eastAsia="仿宋_GB2312"/>
                      <w:sz w:val="20"/>
                    </w:rPr>
                    <w:t>能源资源和食材</w:t>
                  </w:r>
                  <w:r>
                    <w:rPr>
                      <w:rFonts w:ascii="仿宋_GB2312" w:hAnsi="仿宋_GB2312" w:cs="仿宋_GB2312" w:eastAsia="仿宋_GB2312"/>
                      <w:sz w:val="20"/>
                    </w:rPr>
                    <w:t>，有效降低成本</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7</w:t>
                  </w:r>
                  <w:r>
                    <w:rPr>
                      <w:rFonts w:ascii="仿宋_GB2312" w:hAnsi="仿宋_GB2312" w:cs="仿宋_GB2312" w:eastAsia="仿宋_GB2312"/>
                      <w:sz w:val="20"/>
                    </w:rPr>
                    <w:t>、饭菜必须做到安全、卫生、营养，合理搭配，均衡膳食</w:t>
                  </w:r>
                  <w:r>
                    <w:rPr>
                      <w:rFonts w:ascii="仿宋_GB2312" w:hAnsi="仿宋_GB2312" w:cs="仿宋_GB2312" w:eastAsia="仿宋_GB2312"/>
                      <w:sz w:val="20"/>
                    </w:rPr>
                    <w:t>，</w:t>
                  </w:r>
                  <w:r>
                    <w:rPr>
                      <w:rFonts w:ascii="仿宋_GB2312" w:hAnsi="仿宋_GB2312" w:cs="仿宋_GB2312" w:eastAsia="仿宋_GB2312"/>
                      <w:sz w:val="20"/>
                    </w:rPr>
                    <w:t>餐品凸显当地饮食特色</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8</w:t>
                  </w:r>
                  <w:r>
                    <w:rPr>
                      <w:rFonts w:ascii="仿宋_GB2312" w:hAnsi="仿宋_GB2312" w:cs="仿宋_GB2312" w:eastAsia="仿宋_GB2312"/>
                      <w:sz w:val="20"/>
                    </w:rPr>
                    <w:t>、对厨房设备应当合理使用，妥善保管</w:t>
                  </w:r>
                  <w:r>
                    <w:rPr>
                      <w:rFonts w:ascii="仿宋_GB2312" w:hAnsi="仿宋_GB2312" w:cs="仿宋_GB2312" w:eastAsia="仿宋_GB2312"/>
                      <w:sz w:val="20"/>
                    </w:rPr>
                    <w:t>，</w:t>
                  </w:r>
                  <w:r>
                    <w:rPr>
                      <w:rFonts w:ascii="仿宋_GB2312" w:hAnsi="仿宋_GB2312" w:cs="仿宋_GB2312" w:eastAsia="仿宋_GB2312"/>
                      <w:sz w:val="20"/>
                    </w:rPr>
                    <w:t>承包期满后如数交回，若损坏或者丢失按价赔偿。同时应要节约水、电、天然气的使用，杜绝长明灯、长流水现象。要做好防火、防盗、消防和安全用电、用气等工作，确保职工就餐和自身的安全。</w:t>
                  </w:r>
                </w:p>
                <w:p>
                  <w:pPr>
                    <w:pStyle w:val="null3"/>
                    <w:ind w:firstLine="400"/>
                    <w:jc w:val="both"/>
                  </w:pPr>
                  <w:r>
                    <w:rPr>
                      <w:rFonts w:ascii="仿宋_GB2312" w:hAnsi="仿宋_GB2312" w:cs="仿宋_GB2312" w:eastAsia="仿宋_GB2312"/>
                      <w:sz w:val="20"/>
                    </w:rPr>
                    <w:t>9</w:t>
                  </w:r>
                  <w:r>
                    <w:rPr>
                      <w:rFonts w:ascii="仿宋_GB2312" w:hAnsi="仿宋_GB2312" w:cs="仿宋_GB2312" w:eastAsia="仿宋_GB2312"/>
                      <w:sz w:val="20"/>
                    </w:rPr>
                    <w:t>、出餐时间：早餐</w:t>
                  </w:r>
                  <w:r>
                    <w:rPr>
                      <w:rFonts w:ascii="仿宋_GB2312" w:hAnsi="仿宋_GB2312" w:cs="仿宋_GB2312" w:eastAsia="仿宋_GB2312"/>
                      <w:sz w:val="20"/>
                    </w:rPr>
                    <w:t>7:40-8:50，午餐12:00-13:00，晚餐18：00-18:</w:t>
                  </w:r>
                  <w:r>
                    <w:rPr>
                      <w:rFonts w:ascii="仿宋_GB2312" w:hAnsi="仿宋_GB2312" w:cs="仿宋_GB2312" w:eastAsia="仿宋_GB2312"/>
                      <w:sz w:val="20"/>
                    </w:rPr>
                    <w:t>4</w:t>
                  </w:r>
                  <w:r>
                    <w:rPr>
                      <w:rFonts w:ascii="仿宋_GB2312" w:hAnsi="仿宋_GB2312" w:cs="仿宋_GB2312" w:eastAsia="仿宋_GB2312"/>
                      <w:sz w:val="20"/>
                    </w:rPr>
                    <w:t>0（双休日及法定节假日除外）；准时开餐。</w:t>
                  </w:r>
                </w:p>
                <w:p>
                  <w:pPr>
                    <w:pStyle w:val="null3"/>
                    <w:ind w:firstLine="400"/>
                    <w:jc w:val="both"/>
                  </w:pPr>
                  <w:r>
                    <w:rPr>
                      <w:rFonts w:ascii="仿宋_GB2312" w:hAnsi="仿宋_GB2312" w:cs="仿宋_GB2312" w:eastAsia="仿宋_GB2312"/>
                      <w:sz w:val="20"/>
                    </w:rPr>
                    <w:t>10</w:t>
                  </w:r>
                  <w:r>
                    <w:rPr>
                      <w:rFonts w:ascii="仿宋_GB2312" w:hAnsi="仿宋_GB2312" w:cs="仿宋_GB2312" w:eastAsia="仿宋_GB2312"/>
                      <w:sz w:val="20"/>
                    </w:rPr>
                    <w:t>、用餐所供食品、器皿在开餐前</w:t>
                  </w:r>
                  <w:r>
                    <w:rPr>
                      <w:rFonts w:ascii="仿宋_GB2312" w:hAnsi="仿宋_GB2312" w:cs="仿宋_GB2312" w:eastAsia="仿宋_GB2312"/>
                      <w:sz w:val="20"/>
                    </w:rPr>
                    <w:t>10分钟布置完毕，如因客观因素不能准时开餐，承包方应提前通知有关管理部门，并留有充分时间做出补救。</w:t>
                  </w:r>
                </w:p>
                <w:p>
                  <w:pPr>
                    <w:pStyle w:val="null3"/>
                    <w:ind w:firstLine="400"/>
                    <w:jc w:val="both"/>
                  </w:pPr>
                  <w:r>
                    <w:rPr>
                      <w:rFonts w:ascii="仿宋_GB2312" w:hAnsi="仿宋_GB2312" w:cs="仿宋_GB2312" w:eastAsia="仿宋_GB2312"/>
                      <w:sz w:val="20"/>
                    </w:rPr>
                    <w:t>11</w:t>
                  </w:r>
                  <w:r>
                    <w:rPr>
                      <w:rFonts w:ascii="仿宋_GB2312" w:hAnsi="仿宋_GB2312" w:cs="仿宋_GB2312" w:eastAsia="仿宋_GB2312"/>
                      <w:sz w:val="20"/>
                    </w:rPr>
                    <w:t>、员工在岗率每日不能低于</w:t>
                  </w:r>
                  <w:r>
                    <w:rPr>
                      <w:rFonts w:ascii="仿宋_GB2312" w:hAnsi="仿宋_GB2312" w:cs="仿宋_GB2312" w:eastAsia="仿宋_GB2312"/>
                      <w:sz w:val="20"/>
                    </w:rPr>
                    <w:t>9</w:t>
                  </w:r>
                  <w:r>
                    <w:rPr>
                      <w:rFonts w:ascii="仿宋_GB2312" w:hAnsi="仿宋_GB2312" w:cs="仿宋_GB2312" w:eastAsia="仿宋_GB2312"/>
                      <w:sz w:val="20"/>
                    </w:rPr>
                    <w:t>0</w:t>
                  </w:r>
                  <w:r>
                    <w:rPr>
                      <w:rFonts w:ascii="仿宋_GB2312" w:hAnsi="仿宋_GB2312" w:cs="仿宋_GB2312" w:eastAsia="仿宋_GB2312"/>
                      <w:sz w:val="20"/>
                    </w:rPr>
                    <w:t>%，人员流动率每年不超过</w:t>
                  </w:r>
                  <w:r>
                    <w:rPr>
                      <w:rFonts w:ascii="仿宋_GB2312" w:hAnsi="仿宋_GB2312" w:cs="仿宋_GB2312" w:eastAsia="仿宋_GB2312"/>
                      <w:sz w:val="20"/>
                    </w:rPr>
                    <w:t>30</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12、</w:t>
                  </w:r>
                  <w:r>
                    <w:rPr>
                      <w:rFonts w:ascii="仿宋_GB2312" w:hAnsi="仿宋_GB2312" w:cs="仿宋_GB2312" w:eastAsia="仿宋_GB2312"/>
                      <w:sz w:val="20"/>
                    </w:rPr>
                    <w:t>采购人建立健全餐厅每月考核内容，并监督和检查供应商遵守执行。供应商须接受采购人的监督检查，服从管理，接受干部职工的监督，树立为干部职工服务的思想，服务热情，礼貌待人。</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3</w:t>
                  </w:r>
                  <w:r>
                    <w:rPr>
                      <w:rFonts w:ascii="仿宋_GB2312" w:hAnsi="仿宋_GB2312" w:cs="仿宋_GB2312" w:eastAsia="仿宋_GB2312"/>
                      <w:sz w:val="20"/>
                    </w:rPr>
                    <w:t>、落实《西安市反餐饮浪费条例》相关要求，做好食堂反食品浪费工作。</w:t>
                  </w:r>
                </w:p>
                <w:p>
                  <w:pPr>
                    <w:pStyle w:val="null3"/>
                    <w:ind w:firstLine="400"/>
                    <w:jc w:val="both"/>
                  </w:pPr>
                  <w:r>
                    <w:rPr>
                      <w:rFonts w:ascii="仿宋_GB2312" w:hAnsi="仿宋_GB2312" w:cs="仿宋_GB2312" w:eastAsia="仿宋_GB2312"/>
                      <w:sz w:val="20"/>
                    </w:rPr>
                    <w:t>14、供应商必须保证正常工作日期间膳食供应，双休日及法定节假日如需供餐，供应方必须无条件供餐及不另外计算劳务报酬。</w:t>
                  </w:r>
                </w:p>
              </w:tc>
            </w:tr>
          </w:tbl>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因采购人系行政单位，所有的付款均需财政部门审批，本合同履行期间，非因采购人故意拖延付款申请流程造成的逾期付款的，承包方对此予以谅解不得追究采购人的逾期付款责任。</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西安市碑林区人民政府（南院门27号）机关餐厅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验服务最终验收达不到采购文件要求和投标响应文件承诺及国家或行业标准的，或在使用中发现采购人不能容忍的缺陷等，将视为验收不合格，供应商应在采购人要求的时间内无条件完善或赔付采购人损失。 2、若发现供应商有弄虚作假的，及在项目实施阶段故意或随意夸大服务，采购人有权解除本合同，供应商应赔偿采购人相应的损失。 3、验收标准：按采购文件、投标响应文件及磋商记录表等技术指标进行逐项验收。 各项指标均应符合验收标准及要求。 4、验收合格后，填写验收单，双方签字生效。 5、验收依据： （1）合同文本； （2）投标响应文件及磋商记录表、采购文件； （3）国家和行业制定的相应的标准和规范。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 由甲方负责结算，在付款前，乙方必须开具发票。甲方根据月检查考核结果于次月</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 由甲方负责结算，在付款前，乙方必须开具发票。甲方根据月检查考核结果于次月</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 由甲方负责结算，在付款前，乙方必须开具发票。甲方根据月检查考核结果于次月</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 由甲方负责结算，在付款前，乙方必须开具发票。甲方根据月检查考核结果于次月</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 由甲方负责结算，在付款前，乙方必须开具发票。甲方根据月检查考核结果于次月</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 由甲方负责结算，在付款前，乙方必须开具发票。甲方根据月检查考核结果于次月</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 由甲方负责结算，在付款前，乙方必须开具发票。甲方根据月检查考核结果于次月</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 由甲方负责结算，在付款前，乙方必须开具发票。甲方根据月检查考核结果于次月</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 由甲方负责结算，在付款前，乙方必须开具发票。甲方根据月检查考核结果于次月</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 由甲方负责结算，在付款前，乙方必须开具发票。甲方根据月检查考核结果于次月</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 由甲方负责结算，在付款前，乙方必须开具发票。甲方根据月检查考核结果于次月</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 由甲方负责结算，在付款前，乙方必须开具发票。甲方根据月检查考核结果于次月</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按《中华人民共和国政府采购法》、《中华人民共和国民法典》中的相关条款执行。未按合同或采购文件要求提供服务或供应的服务质量不能满足甲方技术要求，甲方有权终止合同，对乙方违约行为进行追究。 1、甲、乙双方必须信守合同，任何一方违反本合同的规定，根据其违约程度，按 2000-10000 元/次向对方支付一次性违约金，造成较大损失的按差额进行赔偿。 2、为保证供餐质量，甲方职能部门每月在就餐职工中进行满意度民主测评。甲、乙双方约定：满意度必须达到85%以上；满意度在 75%-84%之间的，甲方有权从应付乙方的月承包管理费中扣除5%作为质量不合格处罚金；满意度在75%以下，甲方有权从应付乙方的月承包管理费中扣除10%作为质量不合格处罚金，并对乙方进行书 面警告，乙方应积极整改。满意度连续或累计两次达不到75%，甲方有权单方面解除合同，并无需给予乙方任何赔偿。</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成交供应商接受采购人、采购代理机构的检查验证，配合提供相关证明材料（1.财务状况报告2.税收缴纳证明；3.社保资金缴纳证明；4.被授权代表的身份证复印件以及2025年1月至今任意时段在本单位注册的已缴纳的社会保障资金缴存单据或社保机构开具的社会保险参保缴费情况证明；5.成交供应商的业绩(业绩需与磋商响应文件中所提供的保持一致）；以上5项具体要求详见合同附件），证明符合《中华人民共和国政府采购法》规定的供应商基本资格条件。供应商应对其资格承诺内容的真实性、合法性、有效性负责。如作出虚假承诺，视同“提供虚假材料谋取中标（成交）”的违法行为。经调查核实后，按照《中华人民共和国政府采购法》第七十七条，处以采购金额千分之五以上千分之十以下的罚款，列入不良行为记录名单，在一至三年内禁止参加政府采购活动，如违法所得的，并处没收违法所得，情节严重的，由市场监督部门吊销营业执照；构成犯罪的，依法追究刑事责任。 二、1.供应商需要在线提交所有通过电子化交易平台实施的政府采购项目的响应文件，同时，线下提交纸质响应文件正本壹份、副本贰份、电子版壹份（U盘壹份），纸质响文件应与电子化交易平台提交的电子响应文件一致，若电子响应文件与纸质响应文件不一致的，以电子响应文件为准。纸质响应文件正副本须分袋密封，电子版响应文件一份（U盘）密封在响应文件正本封袋中递交；2.线下纸质文件递交截止时间：同在线递交电子响应文件截止时间一致；3.线下纸质文件递交地点：西安市航天基地雁塔南路391号正衡金融广场A座18楼会议室。4.供应商参与投标时请携带笔记本电脑。 三、供应商的磋商报价是供应商响应磋商项目要求的全部工作内容的价格体现，包括供应商完成本项目所需的直接费、间接费、利润、税金及其他相关的一切费用。包括但不限于：人工费、设备费、管理费、体检费、验收费、采购代理服务费、利润和税金等全部费用。在提供服务的过程中的任何遗漏，均由成交供应商免费提供，采购人将不再支付任何费用。 四、磋商有效期 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 2.在磋商有效期内，供应商撤销响应文件的，应承担磋商文件和法律规定的责任。 3.成交供应商的磋商有效期自动延长至合同终止为止。 五、合格供应商少于3家的处理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 2.评审过程中，除符合第1条规定情形外，若出现合格供应商少于3家时，采购人应依法重新组织采购活动。 六、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七、恶意质疑、投诉的法律后果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八、签名是指手写签名或者加盖名章(含电子签名或电子印章)，盖章是指加盖单位印章。 九、关于采购文件一次报价出现下列情况的，不需要供应商澄清，按以下原则处理： 1、报价中的大写金额和小写金额不一致的，以大写金额为准，但大写金额出现文字错误，导致金额无法判断的除外； 2、单价金额小数点或者百分比有明显错位的，应以总价为准，并修改单价； 3、总价金额与按单价汇总金额不一致的，以单价汇总金额计算结果为准。同时出现两种以上不一致的，按照前款规定的顺序修正</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（1）具有独立承担民事责任能力的法人或其他组织，提供有效存续的营业执照或事业单位法人证书或非企业专业服务机构执业许可证或民办非企业单位登记证书或自然人的身份证明； （2）税收缴纳证明：提供截止至磋商时间前六个月内任意一个月份纳税证明或完税证明，纳税证明或完税证明上应有代收机构或税务机关的公章。依法免税的供应商应提供相关文件 证明；（3）社会保障资金缴纳证明：提供截止至磋商时间前六个月内任意一个月份的社会保障资金缴存单据或社保机构开具的社会保险参保缴费情况证明，单据或证明上应有社保机构或代收机构的公章。依法不需要缴纳社会保障 资金的供应商应提供相关文件证明；（4）提供具有履行合同所必需的设备和专业技术能力的承诺函；（5）书面声明：参加本次政府采购活动前三年内在经营活动中没有重大违纪。</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审计事务所出具的2023年度或2024年度的财务报告（至少包括审计报告、资产负债表、利润表、现金流量表、所有者权益变动表及其附注，成立时间至提交响应文件截止时间不足一年的可提供成立后任意时段的资产负债表）或在开标日期前六个月内其基本开户银行出具的资信证明，或信用担保机构出具的投标担保函，以上三种形式的资料提供任何一种即可（分支机构如无法提供财务审计报告，须出具包含分支机构的财务数据的总公司财务审计报告）</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（1）法定代表人直接参加磋商的 ，须出具法定代表人身份证明，法定代表人授权代表参加磋商的，须出具法定代表人授权书； （2）未被“中国执行信息公开网”网站（http://zxgk.court.gov.cn/）列入失信被执行人名单，未被“信用中国” 网站（www.creditchina.gov.cn ）列入重大税收违法案件当事人名单，未被“中国政府采购网”（www.ccgp.gov.cn）列入政府采购严重违法失信行为记录名单被财政部门禁止参加政府采购活动（处罚决定规定的时间和地域范围内）； （3）不接受联合体磋商。</w:t>
            </w:r>
          </w:p>
        </w:tc>
        <w:tc>
          <w:tcPr>
            <w:tcW w:type="dxa" w:w="3322"/>
          </w:tcPr>
          <w:p>
            <w:pPr>
              <w:pStyle w:val="null3"/>
            </w:pPr>
            <w:r>
              <w:rPr>
                <w:rFonts w:ascii="仿宋_GB2312" w:hAnsi="仿宋_GB2312" w:cs="仿宋_GB2312" w:eastAsia="仿宋_GB2312"/>
              </w:rPr>
              <w:t>（1）法定代表人直接参加磋商的 ，须出具法定代表人身份证明，法定代表人授权代表参加磋商的，须出具法定代表人授权书； （2）未被“中国执行信息公开网”网站（http://zxgk.court.gov.cn/）列入失信被执行人名单，未被“信用中国” 网站（www.creditchina.gov.cn ）列入重大税收违法案件当事人名单，未被“中国政府采购网”（www.ccgp.gov.cn）列入政府采购严重违法失信行为记录名单被财政部门禁止参加政府采购活动（处罚决定规定的时间和地域范围内）； （3）不接受联合体磋商。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磋商报价函.docx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竞争性磋商响应文件是否按照竞争性磋商文件要求的格式编写</w:t>
            </w:r>
          </w:p>
        </w:tc>
        <w:tc>
          <w:tcPr>
            <w:tcW w:type="dxa" w:w="3322"/>
          </w:tcPr>
          <w:p>
            <w:pPr>
              <w:pStyle w:val="null3"/>
            </w:pPr>
            <w:r>
              <w:rPr>
                <w:rFonts w:ascii="仿宋_GB2312" w:hAnsi="仿宋_GB2312" w:cs="仿宋_GB2312" w:eastAsia="仿宋_GB2312"/>
              </w:rPr>
              <w:t>竞争性磋商响应文件是否按照竞争性磋商文件要求的格式编写</w:t>
            </w:r>
          </w:p>
        </w:tc>
        <w:tc>
          <w:tcPr>
            <w:tcW w:type="dxa" w:w="1661"/>
          </w:tcPr>
          <w:p>
            <w:pPr>
              <w:pStyle w:val="null3"/>
            </w:pPr>
            <w:r>
              <w:rPr>
                <w:rFonts w:ascii="仿宋_GB2312" w:hAnsi="仿宋_GB2312" w:cs="仿宋_GB2312" w:eastAsia="仿宋_GB2312"/>
              </w:rPr>
              <w:t>封面.docx 类似项目业绩一览表.docx 中小企业声明函 报价表 资格证明文件.docx 磋商报价函.docx 残疾人福利性单位声明函 技术响应资料.docx 标的清单 其他材料.docx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竞争性磋商响应文件的签署、加盖印章是否合格、有效</w:t>
            </w:r>
          </w:p>
        </w:tc>
        <w:tc>
          <w:tcPr>
            <w:tcW w:type="dxa" w:w="3322"/>
          </w:tcPr>
          <w:p>
            <w:pPr>
              <w:pStyle w:val="null3"/>
            </w:pPr>
            <w:r>
              <w:rPr>
                <w:rFonts w:ascii="仿宋_GB2312" w:hAnsi="仿宋_GB2312" w:cs="仿宋_GB2312" w:eastAsia="仿宋_GB2312"/>
              </w:rPr>
              <w:t>竞争性磋商响应文件的签署、加盖印章是否合格、有效</w:t>
            </w:r>
          </w:p>
        </w:tc>
        <w:tc>
          <w:tcPr>
            <w:tcW w:type="dxa" w:w="1661"/>
          </w:tcPr>
          <w:p>
            <w:pPr>
              <w:pStyle w:val="null3"/>
            </w:pPr>
            <w:r>
              <w:rPr>
                <w:rFonts w:ascii="仿宋_GB2312" w:hAnsi="仿宋_GB2312" w:cs="仿宋_GB2312" w:eastAsia="仿宋_GB2312"/>
              </w:rPr>
              <w:t>封面.docx 类似项目业绩一览表.docx 中小企业声明函 报价表 资格证明文件.docx 磋商报价函.docx 残疾人福利性单位声明函 技术响应资料.docx 标的清单 其他材料.docx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磋商报价是否未超过采购预算</w:t>
            </w:r>
          </w:p>
        </w:tc>
        <w:tc>
          <w:tcPr>
            <w:tcW w:type="dxa" w:w="3322"/>
          </w:tcPr>
          <w:p>
            <w:pPr>
              <w:pStyle w:val="null3"/>
            </w:pPr>
            <w:r>
              <w:rPr>
                <w:rFonts w:ascii="仿宋_GB2312" w:hAnsi="仿宋_GB2312" w:cs="仿宋_GB2312" w:eastAsia="仿宋_GB2312"/>
              </w:rPr>
              <w:t>磋商报价是否未超过采购预算</w:t>
            </w:r>
          </w:p>
        </w:tc>
        <w:tc>
          <w:tcPr>
            <w:tcW w:type="dxa" w:w="1661"/>
          </w:tcPr>
          <w:p>
            <w:pPr>
              <w:pStyle w:val="null3"/>
            </w:pPr>
            <w:r>
              <w:rPr>
                <w:rFonts w:ascii="仿宋_GB2312" w:hAnsi="仿宋_GB2312" w:cs="仿宋_GB2312" w:eastAsia="仿宋_GB2312"/>
              </w:rPr>
              <w:t>标的清单 报价表 磋商报价函.docx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投标有效期是否符合竞争性磋商文件的要求</w:t>
            </w:r>
          </w:p>
        </w:tc>
        <w:tc>
          <w:tcPr>
            <w:tcW w:type="dxa" w:w="3322"/>
          </w:tcPr>
          <w:p>
            <w:pPr>
              <w:pStyle w:val="null3"/>
            </w:pPr>
            <w:r>
              <w:rPr>
                <w:rFonts w:ascii="仿宋_GB2312" w:hAnsi="仿宋_GB2312" w:cs="仿宋_GB2312" w:eastAsia="仿宋_GB2312"/>
              </w:rPr>
              <w:t>投标有效期是否符合竞争性磋商文件的要求</w:t>
            </w:r>
          </w:p>
        </w:tc>
        <w:tc>
          <w:tcPr>
            <w:tcW w:type="dxa" w:w="1661"/>
          </w:tcPr>
          <w:p>
            <w:pPr>
              <w:pStyle w:val="null3"/>
            </w:pPr>
            <w:r>
              <w:rPr>
                <w:rFonts w:ascii="仿宋_GB2312" w:hAnsi="仿宋_GB2312" w:cs="仿宋_GB2312" w:eastAsia="仿宋_GB2312"/>
              </w:rPr>
              <w:t>响应函 磋商报价函.docx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服务期是否符合竞争性磋商文件的要求</w:t>
            </w:r>
          </w:p>
        </w:tc>
        <w:tc>
          <w:tcPr>
            <w:tcW w:type="dxa" w:w="3322"/>
          </w:tcPr>
          <w:p>
            <w:pPr>
              <w:pStyle w:val="null3"/>
            </w:pPr>
            <w:r>
              <w:rPr>
                <w:rFonts w:ascii="仿宋_GB2312" w:hAnsi="仿宋_GB2312" w:cs="仿宋_GB2312" w:eastAsia="仿宋_GB2312"/>
              </w:rPr>
              <w:t>服务期是否符合竞争性磋商文件的要求</w:t>
            </w:r>
          </w:p>
        </w:tc>
        <w:tc>
          <w:tcPr>
            <w:tcW w:type="dxa" w:w="1661"/>
          </w:tcPr>
          <w:p>
            <w:pPr>
              <w:pStyle w:val="null3"/>
            </w:pPr>
            <w:r>
              <w:rPr>
                <w:rFonts w:ascii="仿宋_GB2312" w:hAnsi="仿宋_GB2312" w:cs="仿宋_GB2312" w:eastAsia="仿宋_GB2312"/>
              </w:rPr>
              <w:t>磋商报价函.docx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响应文件是否实质性响应竞争性磋商文件的要求</w:t>
            </w:r>
          </w:p>
        </w:tc>
        <w:tc>
          <w:tcPr>
            <w:tcW w:type="dxa" w:w="3322"/>
          </w:tcPr>
          <w:p>
            <w:pPr>
              <w:pStyle w:val="null3"/>
            </w:pPr>
            <w:r>
              <w:rPr>
                <w:rFonts w:ascii="仿宋_GB2312" w:hAnsi="仿宋_GB2312" w:cs="仿宋_GB2312" w:eastAsia="仿宋_GB2312"/>
              </w:rPr>
              <w:t>响应文件是否实质性响应竞争性磋商文件的要求</w:t>
            </w:r>
          </w:p>
        </w:tc>
        <w:tc>
          <w:tcPr>
            <w:tcW w:type="dxa" w:w="1661"/>
          </w:tcPr>
          <w:p>
            <w:pPr>
              <w:pStyle w:val="null3"/>
            </w:pPr>
            <w:r>
              <w:rPr>
                <w:rFonts w:ascii="仿宋_GB2312" w:hAnsi="仿宋_GB2312" w:cs="仿宋_GB2312" w:eastAsia="仿宋_GB2312"/>
              </w:rPr>
              <w:t>封面.docx 类似项目业绩一览表.docx 中小企业声明函 报价表 资格证明文件.docx 磋商报价函.docx 残疾人福利性单位声明函 技术响应资料.docx 标的清单 其他材料.docx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餐厅运营管理方案</w:t>
            </w:r>
          </w:p>
        </w:tc>
        <w:tc>
          <w:tcPr>
            <w:tcW w:type="dxa" w:w="2492"/>
          </w:tcPr>
          <w:p>
            <w:pPr>
              <w:pStyle w:val="null3"/>
            </w:pPr>
            <w:r>
              <w:rPr>
                <w:rFonts w:ascii="仿宋_GB2312" w:hAnsi="仿宋_GB2312" w:cs="仿宋_GB2312" w:eastAsia="仿宋_GB2312"/>
              </w:rPr>
              <w:t>评审内容：针对本项目提供餐厅服务方案进行评审，包括但不限于①整体供餐服务计划（包括一日三餐的制作节点安排）②餐厅供餐秩序维护；③与采购人配合餐厅管理的服务措施④菜品的种类管理（包括出餐品种、营养搭配及标准）⑤食品的质量和保存管理措施。 评审标准：以上内容切合本项目实际情况及服务要求，内容与要点相符、每个要点均有展开详细的阐述且能够适用于本项目的计15分。评审内容任意一项缺项扣3分，扣完为止；评审内容任意一项有缺陷扣1.5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餐厅设施设备维护</w:t>
            </w:r>
          </w:p>
        </w:tc>
        <w:tc>
          <w:tcPr>
            <w:tcW w:type="dxa" w:w="2492"/>
          </w:tcPr>
          <w:p>
            <w:pPr>
              <w:pStyle w:val="null3"/>
            </w:pPr>
            <w:r>
              <w:rPr>
                <w:rFonts w:ascii="仿宋_GB2312" w:hAnsi="仿宋_GB2312" w:cs="仿宋_GB2312" w:eastAsia="仿宋_GB2312"/>
              </w:rPr>
              <w:t>评审内容：针对本项目提供整体服务方案进行评审，包括但不限于①餐厅设备维护和保管②易耗品保护（碗筷清洗）③餐厅消防设施的检查维护。 评审标准：以上内容切合本项目实际情况及服务要求，内容与要点相符、每个要点均有展开详细的阐述且能够适用于本项目的计9分。评审内容任意一项缺项扣3分，扣完为止；评审内容任意一项有缺陷扣1.5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餐厅卫生管理方案</w:t>
            </w:r>
          </w:p>
        </w:tc>
        <w:tc>
          <w:tcPr>
            <w:tcW w:type="dxa" w:w="2492"/>
          </w:tcPr>
          <w:p>
            <w:pPr>
              <w:pStyle w:val="null3"/>
            </w:pPr>
            <w:r>
              <w:rPr>
                <w:rFonts w:ascii="仿宋_GB2312" w:hAnsi="仿宋_GB2312" w:cs="仿宋_GB2312" w:eastAsia="仿宋_GB2312"/>
              </w:rPr>
              <w:t>评审内容：针对本项目提供餐厅卫生管理方案进行评审，包括但不限于①餐厅卫生管理②餐厅餐具卫生管理③餐厅从业人员人员卫生管理④餐厅垃圾和废弃物处理。 评审标准：以上内容切合本项目实际情况及实施要求，内容与要点相符、每个要点均有展开详细的阐述且能够适用于本项目的计12分。评审内容任意一项缺项扣3分，扣完为止；评审内容任意一项有缺陷扣1.5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餐厅运营管理制度</w:t>
            </w:r>
          </w:p>
        </w:tc>
        <w:tc>
          <w:tcPr>
            <w:tcW w:type="dxa" w:w="2492"/>
          </w:tcPr>
          <w:p>
            <w:pPr>
              <w:pStyle w:val="null3"/>
            </w:pPr>
            <w:r>
              <w:rPr>
                <w:rFonts w:ascii="仿宋_GB2312" w:hAnsi="仿宋_GB2312" w:cs="仿宋_GB2312" w:eastAsia="仿宋_GB2312"/>
              </w:rPr>
              <w:t>评审内容：针对本项目提供餐厅运营管理制度进行评审，包括但不限于①健全的餐厅运营管理制度②成本管理制度③厨房安全操作和规范服务标准的管理制度④餐厅人员奖惩管理制度⑤培训制度。 评审标准：以上内容切合本项目实际情况及实施要求，内容与要点相符、每个要点均有展开详细的阐述且能够适用于本项目的计15分。评审内容任意一项缺项扣3分，扣完为止；评审内容任意一项有缺陷扣1.5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应急管理措施</w:t>
            </w:r>
          </w:p>
        </w:tc>
        <w:tc>
          <w:tcPr>
            <w:tcW w:type="dxa" w:w="2492"/>
          </w:tcPr>
          <w:p>
            <w:pPr>
              <w:pStyle w:val="null3"/>
            </w:pPr>
            <w:r>
              <w:rPr>
                <w:rFonts w:ascii="仿宋_GB2312" w:hAnsi="仿宋_GB2312" w:cs="仿宋_GB2312" w:eastAsia="仿宋_GB2312"/>
              </w:rPr>
              <w:t>评审内容：针对本项目①紧急突发情况的处理措施；②停水、停电、食物中毒、消防安全或因其他人力不可抗拒因素的解决方案。 评审标准：以上内容切合本项目实际情况及实施要求，内容与要点相符、每个要点均有展开详细的阐述且能够适用于本项目的计6分。评审内容任意一项缺项扣3分，扣完为止；评审内容任意一项有缺陷扣1.5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餐厅人员配备</w:t>
            </w:r>
          </w:p>
        </w:tc>
        <w:tc>
          <w:tcPr>
            <w:tcW w:type="dxa" w:w="2492"/>
          </w:tcPr>
          <w:p>
            <w:pPr>
              <w:pStyle w:val="null3"/>
            </w:pPr>
            <w:r>
              <w:rPr>
                <w:rFonts w:ascii="仿宋_GB2312" w:hAnsi="仿宋_GB2312" w:cs="仿宋_GB2312" w:eastAsia="仿宋_GB2312"/>
              </w:rPr>
              <w:t>评审内容：供应商提供餐厅人员配备，包括但不限于①餐厅服务人员配备且拟配备人员均具有健康证；②人员岗位和职责分工。 评审标准：以上内容切合本项目实际情况及实施要求，内容与要点相符、每个要点均有展开详细的阐述且能够适用于本项目的计6分。评审内容任意一项缺项扣3分，扣完为止；评审内容任意一项有缺陷扣1.5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服务承诺①</w:t>
            </w:r>
          </w:p>
        </w:tc>
        <w:tc>
          <w:tcPr>
            <w:tcW w:type="dxa" w:w="2492"/>
          </w:tcPr>
          <w:p>
            <w:pPr>
              <w:pStyle w:val="null3"/>
            </w:pPr>
            <w:r>
              <w:rPr>
                <w:rFonts w:ascii="仿宋_GB2312" w:hAnsi="仿宋_GB2312" w:cs="仿宋_GB2312" w:eastAsia="仿宋_GB2312"/>
              </w:rPr>
              <w:t>供应商提供关于员工在岗率每日不能低于95%，人员流动率每年不超过30%的承诺计2分，不提供的计0分。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服务承诺②</w:t>
            </w:r>
          </w:p>
        </w:tc>
        <w:tc>
          <w:tcPr>
            <w:tcW w:type="dxa" w:w="2492"/>
          </w:tcPr>
          <w:p>
            <w:pPr>
              <w:pStyle w:val="null3"/>
            </w:pPr>
            <w:r>
              <w:rPr>
                <w:rFonts w:ascii="仿宋_GB2312" w:hAnsi="仿宋_GB2312" w:cs="仿宋_GB2312" w:eastAsia="仿宋_GB2312"/>
              </w:rPr>
              <w:t>供应商提供保证正常工作日期间膳食供应，双休日及法定节假日如需供餐，供应方无条件供餐及不另外计算劳务报酬承诺的计3分，不提供的计0分。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餐厅安全服务保障措施</w:t>
            </w:r>
          </w:p>
        </w:tc>
        <w:tc>
          <w:tcPr>
            <w:tcW w:type="dxa" w:w="2492"/>
          </w:tcPr>
          <w:p>
            <w:pPr>
              <w:pStyle w:val="null3"/>
            </w:pPr>
            <w:r>
              <w:rPr>
                <w:rFonts w:ascii="仿宋_GB2312" w:hAnsi="仿宋_GB2312" w:cs="仿宋_GB2312" w:eastAsia="仿宋_GB2312"/>
              </w:rPr>
              <w:t>评审内容：供应商须提供针对本项目的餐厅安全服务保障措施包括但不限于①人员操作安全管理措施；②食品安全保障措施③餐厅运营安全保障措施。④安全防护措施（包括水、电、气、火灾、食品安全保护措施）。 评审标准：以上内容切合本项目实际情况及实施要求，内容与要点相符、每个要点均有展开详细的阐述且能够适用于本项目的计12分。评审内容任意一项缺项扣3分，扣完为止；评审内容任意一项有缺陷扣扣1.5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供应商应提供2022年9月1日至投标截止日的类似项目业绩。以合同复印件加盖公章为计分依据，提供1份合同得2分，满分10分。 注：时间以合同签订时间为准。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投标总报价得分＝（评标基准价/投标报价）×价格分值（注：满足磋商文件要求且投标价格最低的投标报价为评标基准价。）最低报价不是中标的唯一依据。报价超过采购预算按无效响应处理。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磋商报价函.docx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 磋商报价函.docx</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详见附件：封面.docx</w:t>
      </w:r>
    </w:p>
    <w:p>
      <w:pPr>
        <w:pStyle w:val="null3"/>
        <w:ind w:firstLine="960"/>
      </w:pPr>
      <w:r>
        <w:rPr>
          <w:rFonts w:ascii="仿宋_GB2312" w:hAnsi="仿宋_GB2312" w:cs="仿宋_GB2312" w:eastAsia="仿宋_GB2312"/>
        </w:rPr>
        <w:t>详见附件：磋商报价函.docx</w:t>
      </w:r>
    </w:p>
    <w:p>
      <w:pPr>
        <w:pStyle w:val="null3"/>
        <w:ind w:firstLine="960"/>
      </w:pPr>
      <w:r>
        <w:rPr>
          <w:rFonts w:ascii="仿宋_GB2312" w:hAnsi="仿宋_GB2312" w:cs="仿宋_GB2312" w:eastAsia="仿宋_GB2312"/>
        </w:rPr>
        <w:t>详见附件：技术响应资料.docx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详见附件：其他材料.docx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