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版本号：HXTDZB2026101720260115001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第二分校新建项目考古发掘劳务服务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HXTDZB20261017</w:t>
      </w:r>
      <w:r>
        <w:br/>
      </w:r>
      <w:r>
        <w:br/>
      </w:r>
      <w:r>
        <w:br/>
      </w:r>
    </w:p>
    <w:p>
      <w:pPr>
        <w:pStyle w:val="null3"/>
        <w:jc w:val="center"/>
        <w:outlineLvl w:val="2"/>
      </w:pPr>
      <w:r>
        <w:rPr>
          <w:rFonts w:ascii="仿宋_GB2312" w:hAnsi="仿宋_GB2312" w:cs="仿宋_GB2312" w:eastAsia="仿宋_GB2312"/>
          <w:sz w:val="28"/>
          <w:b/>
        </w:rPr>
        <w:t>西安市第三中学</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西安市第三中学</w:t>
      </w:r>
      <w:r>
        <w:rPr>
          <w:rFonts w:ascii="仿宋_GB2312" w:hAnsi="仿宋_GB2312" w:cs="仿宋_GB2312" w:eastAsia="仿宋_GB2312"/>
        </w:rPr>
        <w:t>委托，拟对</w:t>
      </w:r>
      <w:r>
        <w:rPr>
          <w:rFonts w:ascii="仿宋_GB2312" w:hAnsi="仿宋_GB2312" w:cs="仿宋_GB2312" w:eastAsia="仿宋_GB2312"/>
        </w:rPr>
        <w:t>第二分校新建项目考古发掘劳务服务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HXTDZB20261017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第二分校新建项目考古发掘劳务服务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位于西安市碑林区东关南街龙渠堡61号。本次采购内容为按照国家文物局颁发的《田野考古工作规程》及相关规范，对西安市第三中学第二分校新建项目范围内发现的古代文化遗存等进行文物发掘和清理工作。通过发掘确保地下文化遗产安全，推动项目建设顺利进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采购包1（西安市第三中学第二分校新建项目考古发掘劳务服务）：属于专门面向小微企业采购。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列入“信用中国”（www.creditchina.gov.cn）记录的“严重失信主体名单”和“重大税收违法失信主体”名单；未被列入“中国政府采购网”（www.ccgp.gov.cn）中的“政府采购严重违法失信行为记录名单”。</w:t>
      </w:r>
    </w:p>
    <w:p>
      <w:pPr>
        <w:pStyle w:val="null3"/>
      </w:pPr>
      <w:r>
        <w:rPr>
          <w:rFonts w:ascii="仿宋_GB2312" w:hAnsi="仿宋_GB2312" w:cs="仿宋_GB2312" w:eastAsia="仿宋_GB2312"/>
        </w:rPr>
        <w:t>2、供应商不得存在下列情形之一：2.1单位负责人为同一人或者存在直接控股、管理关系的不同供应商不得参加同一合同项下的政府采购活动；2.2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陕西省西安市碑林区东关长乐坊77号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13519166386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陕西省西安市高新区沣惠南路18号唐沣国际广场D座13楼1301室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宜倩、方湖、赵磊、房亚宁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或成交)服务费以中标（成交）价为基数，参照《招标代理服务收费管理暂行办法》计价格[2002]1980号文和发改价格[2011]534号文件规定收费标准计取,由中标(或成交)供应商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西安市第三中学</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地址：书面材料送至陕西省西安市高新区沣惠南路18号唐沣国际广场D座13楼1301室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西安市碑林区东关南街龙渠堡61号。本次采购内容为按照国家文物局颁发的《田野考古工作规程》及相关规范，对西安市第三中学第二分校新建项目范围内发现的古代文化遗存等进行文物发掘和清理工作。通过发掘确保地下文化遗产安全，推动项目建设顺利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4,700,000.00</w:t>
      </w:r>
    </w:p>
    <w:p>
      <w:pPr>
        <w:pStyle w:val="null3"/>
      </w:pPr>
      <w:r>
        <w:rPr>
          <w:rFonts w:ascii="仿宋_GB2312" w:hAnsi="仿宋_GB2312" w:cs="仿宋_GB2312" w:eastAsia="仿宋_GB2312"/>
        </w:rPr>
        <w:t>采购包最高限价（元）: 4,484,133.73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4700000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项目概况</w:t>
            </w:r>
          </w:p>
          <w:p>
            <w:pPr>
              <w:pStyle w:val="null3"/>
              <w:jc w:val="left"/>
            </w:pPr>
            <w:r>
              <w:rPr>
                <w:rFonts w:ascii="仿宋_GB2312" w:hAnsi="仿宋_GB2312" w:cs="仿宋_GB2312" w:eastAsia="仿宋_GB2312"/>
                <w:sz w:val="20"/>
                <w:color w:val="000000"/>
              </w:rPr>
              <w:t>本项目位于西安市碑林区</w:t>
            </w:r>
            <w:r>
              <w:rPr>
                <w:rFonts w:ascii="仿宋_GB2312" w:hAnsi="仿宋_GB2312" w:cs="仿宋_GB2312" w:eastAsia="仿宋_GB2312"/>
                <w:sz w:val="20"/>
                <w:color w:val="000000"/>
              </w:rPr>
              <w:t>东关南街龙渠堡</w:t>
            </w:r>
            <w:r>
              <w:rPr>
                <w:rFonts w:ascii="仿宋_GB2312" w:hAnsi="仿宋_GB2312" w:cs="仿宋_GB2312" w:eastAsia="仿宋_GB2312"/>
                <w:sz w:val="20"/>
                <w:color w:val="000000"/>
              </w:rPr>
              <w:t>61号</w:t>
            </w:r>
            <w:r>
              <w:rPr>
                <w:rFonts w:ascii="仿宋_GB2312" w:hAnsi="仿宋_GB2312" w:cs="仿宋_GB2312" w:eastAsia="仿宋_GB2312"/>
                <w:sz w:val="20"/>
                <w:color w:val="000000"/>
              </w:rPr>
              <w:t>。</w:t>
            </w:r>
            <w:r>
              <w:rPr>
                <w:rFonts w:ascii="仿宋_GB2312" w:hAnsi="仿宋_GB2312" w:cs="仿宋_GB2312" w:eastAsia="仿宋_GB2312"/>
                <w:sz w:val="20"/>
                <w:color w:val="000000"/>
              </w:rPr>
              <w:t>本次采购内容为</w:t>
            </w:r>
            <w:r>
              <w:rPr>
                <w:rFonts w:ascii="仿宋_GB2312" w:hAnsi="仿宋_GB2312" w:cs="仿宋_GB2312" w:eastAsia="仿宋_GB2312"/>
                <w:sz w:val="20"/>
                <w:color w:val="000000"/>
              </w:rPr>
              <w:t>按照国家文物局颁发的《田野考古工作规程》及相关规范，</w:t>
            </w:r>
            <w:r>
              <w:rPr>
                <w:rFonts w:ascii="仿宋_GB2312" w:hAnsi="仿宋_GB2312" w:cs="仿宋_GB2312" w:eastAsia="仿宋_GB2312"/>
                <w:sz w:val="20"/>
                <w:color w:val="000000"/>
              </w:rPr>
              <w:t>对</w:t>
            </w:r>
            <w:r>
              <w:rPr>
                <w:rFonts w:ascii="仿宋_GB2312" w:hAnsi="仿宋_GB2312" w:cs="仿宋_GB2312" w:eastAsia="仿宋_GB2312"/>
                <w:sz w:val="20"/>
                <w:color w:val="000000"/>
              </w:rPr>
              <w:t>西安市第三中学第二分校新建项目范围内</w:t>
            </w:r>
            <w:r>
              <w:rPr>
                <w:rFonts w:ascii="仿宋_GB2312" w:hAnsi="仿宋_GB2312" w:cs="仿宋_GB2312" w:eastAsia="仿宋_GB2312"/>
                <w:sz w:val="20"/>
                <w:color w:val="000000"/>
              </w:rPr>
              <w:t>发现的古代文化遗存等进行文物发掘和清理工作。通过发掘确保地下文化遗产安全，推动项目建设顺利进行。</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服务内容</w:t>
            </w:r>
          </w:p>
          <w:p>
            <w:pPr>
              <w:pStyle w:val="null3"/>
              <w:jc w:val="both"/>
            </w:pPr>
            <w:r>
              <w:rPr>
                <w:rFonts w:ascii="仿宋_GB2312" w:hAnsi="仿宋_GB2312" w:cs="仿宋_GB2312" w:eastAsia="仿宋_GB2312"/>
                <w:sz w:val="20"/>
              </w:rPr>
              <w:t>西安市第三中学第二分校新建项目考古发掘劳务服务</w:t>
            </w:r>
          </w:p>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技术要求</w:t>
            </w:r>
          </w:p>
          <w:p>
            <w:pPr>
              <w:pStyle w:val="null3"/>
            </w:pPr>
            <w:r>
              <w:rPr>
                <w:rFonts w:ascii="仿宋_GB2312" w:hAnsi="仿宋_GB2312" w:cs="仿宋_GB2312" w:eastAsia="仿宋_GB2312"/>
                <w:sz w:val="20"/>
                <w:color w:val="000000"/>
              </w:rPr>
              <w:t>（一）技术参数与性能指标</w:t>
            </w:r>
          </w:p>
          <w:tbl>
            <w:tblPr>
              <w:tblBorders>
                <w:top w:val="none" w:color="000000" w:sz="4"/>
                <w:left w:val="none" w:color="000000" w:sz="4"/>
                <w:bottom w:val="none" w:color="000000" w:sz="4"/>
                <w:right w:val="none" w:color="000000" w:sz="4"/>
                <w:insideH w:val="none"/>
                <w:insideV w:val="none"/>
              </w:tblBorders>
            </w:tblPr>
            <w:tblGrid>
              <w:gridCol w:w="79"/>
              <w:gridCol w:w="79"/>
              <w:gridCol w:w="94"/>
              <w:gridCol w:w="183"/>
              <w:gridCol w:w="178"/>
              <w:gridCol w:w="155"/>
              <w:gridCol w:w="183"/>
              <w:gridCol w:w="216"/>
              <w:gridCol w:w="202"/>
              <w:gridCol w:w="178"/>
              <w:gridCol w:w="164"/>
              <w:gridCol w:w="173"/>
              <w:gridCol w:w="216"/>
              <w:gridCol w:w="211"/>
              <w:gridCol w:w="211"/>
            </w:tblGrid>
            <w:tr>
              <w:tc>
                <w:tcPr>
                  <w:tcW w:type="dxa" w:w="7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形制</w:t>
                  </w:r>
                </w:p>
              </w:tc>
              <w:tc>
                <w:tcPr>
                  <w:tcW w:type="dxa" w:w="91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墓道</w:t>
                  </w:r>
                </w:p>
              </w:tc>
              <w:tc>
                <w:tcPr>
                  <w:tcW w:type="dxa" w:w="2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系数</w:t>
                  </w:r>
                </w:p>
              </w:tc>
              <w:tc>
                <w:tcPr>
                  <w:tcW w:type="dxa" w:w="731"/>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墓室</w:t>
                  </w:r>
                  <w:r>
                    <w:rPr>
                      <w:rFonts w:ascii="仿宋_GB2312" w:hAnsi="仿宋_GB2312" w:cs="仿宋_GB2312" w:eastAsia="仿宋_GB2312"/>
                      <w:sz w:val="18"/>
                      <w:color w:val="000000"/>
                    </w:rPr>
                    <w:t>/遗迹</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总面积</w:t>
                  </w:r>
                </w:p>
              </w:tc>
              <w:tc>
                <w:tcPr>
                  <w:tcW w:type="dxa" w:w="2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系数</w:t>
                  </w:r>
                </w:p>
              </w:tc>
            </w:tr>
            <w:tr>
              <w:tc>
                <w:tcPr>
                  <w:tcW w:type="dxa" w:w="79"/>
                  <w:vMerge/>
                  <w:tcBorders>
                    <w:top w:val="single" w:color="000000" w:sz="4"/>
                    <w:left w:val="single" w:color="000000" w:sz="4"/>
                    <w:bottom w:val="single" w:color="000000" w:sz="4"/>
                    <w:right w:val="single" w:color="000000" w:sz="4"/>
                  </w:tcBorders>
                </w:tcPr>
                <w:p/>
              </w:tc>
              <w:tc>
                <w:tcPr>
                  <w:tcW w:type="dxa" w:w="79"/>
                  <w:vMerge/>
                  <w:tcBorders>
                    <w:top w:val="single" w:color="000000" w:sz="4"/>
                    <w:left w:val="none" w:color="000000" w:sz="4"/>
                    <w:bottom w:val="single" w:color="000000" w:sz="4"/>
                    <w:right w:val="single" w:color="000000" w:sz="4"/>
                  </w:tcBorders>
                </w:tcPr>
                <w:p/>
              </w:tc>
              <w:tc>
                <w:tcPr>
                  <w:tcW w:type="dxa" w:w="94"/>
                  <w:vMerge/>
                  <w:tcBorders>
                    <w:top w:val="single" w:color="000000" w:sz="4"/>
                    <w:left w:val="none" w:color="000000" w:sz="4"/>
                    <w:bottom w:val="single" w:color="000000" w:sz="4"/>
                    <w:right w:val="single" w:color="000000" w:sz="4"/>
                  </w:tcBorders>
                </w:tcP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长（米）</w:t>
                  </w:r>
                </w:p>
              </w:tc>
              <w:tc>
                <w:tcPr>
                  <w:tcW w:type="dxa" w:w="1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宽（米）</w:t>
                  </w:r>
                </w:p>
              </w:tc>
              <w:tc>
                <w:tcPr>
                  <w:tcW w:type="dxa" w:w="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深（米）</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平均深度</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面积</w:t>
                  </w:r>
                </w:p>
              </w:tc>
              <w:tc>
                <w:tcPr>
                  <w:tcW w:type="dxa" w:w="202"/>
                  <w:vMerge/>
                  <w:tcBorders>
                    <w:top w:val="single" w:color="000000" w:sz="4"/>
                    <w:left w:val="none" w:color="000000" w:sz="4"/>
                    <w:bottom w:val="single" w:color="000000" w:sz="4"/>
                    <w:right w:val="single" w:color="000000" w:sz="4"/>
                  </w:tcBorders>
                </w:tcPr>
                <w:p/>
              </w:tc>
              <w:tc>
                <w:tcPr>
                  <w:tcW w:type="dxa" w:w="1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长（米）</w:t>
                  </w:r>
                </w:p>
              </w:tc>
              <w:tc>
                <w:tcPr>
                  <w:tcW w:type="dxa" w:w="1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宽（米）</w:t>
                  </w:r>
                </w:p>
              </w:tc>
              <w:tc>
                <w:tcPr>
                  <w:tcW w:type="dxa" w:w="1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深（米）</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面积</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c>
                <w:tcPr>
                  <w:tcW w:type="dxa" w:w="211"/>
                  <w:vMerge/>
                  <w:tcBorders>
                    <w:top w:val="single" w:color="000000" w:sz="4"/>
                    <w:left w:val="none" w:color="000000" w:sz="4"/>
                    <w:bottom w:val="single" w:color="000000" w:sz="4"/>
                    <w:right w:val="single" w:color="000000" w:sz="4"/>
                  </w:tcBorders>
                </w:tcPr>
                <w:p/>
              </w:tc>
            </w:tr>
            <w:tr>
              <w:tc>
                <w:tcPr>
                  <w:tcW w:type="dxa" w:w="79"/>
                  <w:vMerge/>
                  <w:tcBorders>
                    <w:top w:val="single" w:color="000000" w:sz="4"/>
                    <w:left w:val="single" w:color="000000" w:sz="4"/>
                    <w:bottom w:val="single" w:color="000000" w:sz="4"/>
                    <w:right w:val="single" w:color="000000" w:sz="4"/>
                  </w:tcBorders>
                </w:tcPr>
                <w:p/>
              </w:tc>
              <w:tc>
                <w:tcPr>
                  <w:tcW w:type="dxa" w:w="79"/>
                  <w:vMerge/>
                  <w:tcBorders>
                    <w:top w:val="single" w:color="000000" w:sz="4"/>
                    <w:left w:val="none" w:color="000000" w:sz="4"/>
                    <w:bottom w:val="single" w:color="000000" w:sz="4"/>
                    <w:right w:val="single" w:color="000000" w:sz="4"/>
                  </w:tcBorders>
                </w:tcPr>
                <w:p/>
              </w:tc>
              <w:tc>
                <w:tcPr>
                  <w:tcW w:type="dxa" w:w="94"/>
                  <w:vMerge/>
                  <w:tcBorders>
                    <w:top w:val="singl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c>
                <w:tcPr>
                  <w:tcW w:type="dxa" w:w="202"/>
                  <w:vMerge/>
                  <w:tcBorders>
                    <w:top w:val="single" w:color="000000" w:sz="4"/>
                    <w:left w:val="none" w:color="000000" w:sz="4"/>
                    <w:bottom w:val="single" w:color="000000" w:sz="4"/>
                    <w:right w:val="single" w:color="000000" w:sz="4"/>
                  </w:tcBorders>
                </w:tcPr>
                <w:p/>
              </w:tc>
              <w:tc>
                <w:tcPr>
                  <w:tcW w:type="dxa" w:w="178"/>
                  <w:vMerge/>
                  <w:tcBorders>
                    <w:top w:val="single" w:color="000000" w:sz="4"/>
                    <w:left w:val="none" w:color="000000" w:sz="4"/>
                    <w:bottom w:val="single" w:color="000000" w:sz="4"/>
                    <w:right w:val="single" w:color="000000" w:sz="4"/>
                  </w:tcBorders>
                </w:tcPr>
                <w:p/>
              </w:tc>
              <w:tc>
                <w:tcPr>
                  <w:tcW w:type="dxa" w:w="164"/>
                  <w:vMerge/>
                  <w:tcBorders>
                    <w:top w:val="single" w:color="000000" w:sz="4"/>
                    <w:left w:val="none" w:color="000000" w:sz="4"/>
                    <w:bottom w:val="single" w:color="000000" w:sz="4"/>
                    <w:right w:val="single" w:color="000000" w:sz="4"/>
                  </w:tcBorders>
                </w:tcPr>
                <w:p/>
              </w:tc>
              <w:tc>
                <w:tcPr>
                  <w:tcW w:type="dxa" w:w="173"/>
                  <w:vMerge/>
                  <w:tcBorders>
                    <w:top w:val="singl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vMerge/>
                  <w:tcBorders>
                    <w:top w:val="single" w:color="000000" w:sz="4"/>
                    <w:left w:val="none" w:color="000000" w:sz="4"/>
                    <w:bottom w:val="single" w:color="000000" w:sz="4"/>
                    <w:right w:val="single" w:color="000000" w:sz="4"/>
                  </w:tcBorders>
                </w:tcP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w:t>
                  </w:r>
                </w:p>
              </w:tc>
              <w:tc>
                <w:tcPr>
                  <w:tcW w:type="dxa" w:w="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古墓葬</w:t>
                  </w: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斜坡墓道土洞墓</w:t>
                  </w: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1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w:t>
                  </w:r>
                </w:p>
              </w:tc>
              <w:tc>
                <w:tcPr>
                  <w:tcW w:type="dxa" w:w="2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21.44</w:t>
                  </w: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23.22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44.66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w:t>
                  </w:r>
                </w:p>
              </w:tc>
            </w:tr>
            <w:tr>
              <w:tc>
                <w:tcPr>
                  <w:tcW w:type="dxa" w:w="79"/>
                  <w:vMerge/>
                  <w:tcBorders>
                    <w:top w:val="none" w:color="000000" w:sz="4"/>
                    <w:left w:val="single" w:color="000000" w:sz="4"/>
                    <w:bottom w:val="single" w:color="000000" w:sz="4"/>
                    <w:right w:val="single" w:color="000000" w:sz="4"/>
                  </w:tcBorders>
                </w:tcPr>
                <w:p/>
              </w:tc>
              <w:tc>
                <w:tcPr>
                  <w:tcW w:type="dxa" w:w="7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w:t>
                  </w:r>
                </w:p>
              </w:tc>
            </w:tr>
            <w:tr>
              <w:tc>
                <w:tcPr>
                  <w:tcW w:type="dxa" w:w="79"/>
                  <w:vMerge/>
                  <w:tcBorders>
                    <w:top w:val="none" w:color="000000" w:sz="4"/>
                    <w:left w:val="single" w:color="000000" w:sz="4"/>
                    <w:bottom w:val="single" w:color="000000" w:sz="4"/>
                    <w:right w:val="single" w:color="000000" w:sz="4"/>
                  </w:tcBorders>
                </w:tcPr>
                <w:p/>
              </w:tc>
              <w:tc>
                <w:tcPr>
                  <w:tcW w:type="dxa" w:w="7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古墓葬</w:t>
                  </w:r>
                </w:p>
              </w:tc>
              <w:tc>
                <w:tcPr>
                  <w:tcW w:type="dxa" w:w="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斜坡墓道土洞墓</w:t>
                  </w: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1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w:t>
                  </w:r>
                </w:p>
              </w:tc>
              <w:tc>
                <w:tcPr>
                  <w:tcW w:type="dxa" w:w="1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3.55</w:t>
                  </w:r>
                </w:p>
              </w:tc>
              <w:tc>
                <w:tcPr>
                  <w:tcW w:type="dxa" w:w="2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8.08</w:t>
                  </w: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r>
            <w:tr>
              <w:tc>
                <w:tcPr>
                  <w:tcW w:type="dxa" w:w="79"/>
                  <w:vMerge/>
                  <w:tcBorders>
                    <w:top w:val="none" w:color="000000" w:sz="4"/>
                    <w:left w:val="single" w:color="000000" w:sz="4"/>
                    <w:bottom w:val="single" w:color="000000" w:sz="4"/>
                    <w:right w:val="single" w:color="000000" w:sz="4"/>
                  </w:tcBorders>
                </w:tcPr>
                <w:p/>
              </w:tc>
              <w:tc>
                <w:tcPr>
                  <w:tcW w:type="dxa" w:w="7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r>
            <w:tr>
              <w:tc>
                <w:tcPr>
                  <w:tcW w:type="dxa" w:w="79"/>
                  <w:vMerge/>
                  <w:tcBorders>
                    <w:top w:val="none" w:color="000000" w:sz="4"/>
                    <w:left w:val="single" w:color="000000" w:sz="4"/>
                    <w:bottom w:val="single" w:color="000000" w:sz="4"/>
                    <w:right w:val="single" w:color="000000" w:sz="4"/>
                  </w:tcBorders>
                </w:tcPr>
                <w:p/>
              </w:tc>
              <w:tc>
                <w:tcPr>
                  <w:tcW w:type="dxa" w:w="79"/>
                  <w:vMerge/>
                  <w:tcBorders>
                    <w:top w:val="none" w:color="000000" w:sz="4"/>
                    <w:left w:val="none" w:color="000000" w:sz="4"/>
                    <w:bottom w:val="single" w:color="000000" w:sz="4"/>
                    <w:right w:val="single" w:color="000000" w:sz="4"/>
                  </w:tcBorders>
                </w:tcPr>
                <w:p/>
              </w:tc>
              <w:tc>
                <w:tcPr>
                  <w:tcW w:type="dxa" w:w="9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178"/>
                  <w:vMerge/>
                  <w:tcBorders>
                    <w:top w:val="none" w:color="000000" w:sz="4"/>
                    <w:left w:val="none" w:color="000000" w:sz="4"/>
                    <w:bottom w:val="single" w:color="000000" w:sz="4"/>
                    <w:right w:val="single" w:color="000000" w:sz="4"/>
                  </w:tcBorders>
                </w:tcPr>
                <w:p/>
              </w:tc>
              <w:tc>
                <w:tcPr>
                  <w:tcW w:type="dxa" w:w="155"/>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H8</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H9</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H10</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H16</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H17</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H18</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H19</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H20</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H26</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H27</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22.78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22.78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H28</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H29</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2.66</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36.72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H8</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H9</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H10</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25.92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25.92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H14</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H15</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H16</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H17</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26.88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26.88</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0.36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J3</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井</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3.06</w:t>
                  </w:r>
                </w:p>
              </w:tc>
            </w:tr>
          </w:tbl>
          <w:p>
            <w:pPr>
              <w:pStyle w:val="null3"/>
            </w:pPr>
            <w:r>
              <w:rPr>
                <w:rFonts w:ascii="仿宋_GB2312" w:hAnsi="仿宋_GB2312" w:cs="仿宋_GB2312" w:eastAsia="仿宋_GB2312"/>
                <w:sz w:val="20"/>
                <w:color w:val="000000"/>
              </w:rPr>
              <w:t>（二）技术要求</w:t>
            </w:r>
          </w:p>
          <w:p>
            <w:pPr>
              <w:pStyle w:val="null3"/>
            </w:pPr>
            <w:r>
              <w:rPr>
                <w:rFonts w:ascii="仿宋_GB2312" w:hAnsi="仿宋_GB2312" w:cs="仿宋_GB2312" w:eastAsia="仿宋_GB2312"/>
                <w:sz w:val="20"/>
                <w:color w:val="000000"/>
              </w:rPr>
              <w:t>1、按照国家文物局颁布的《田野考古工作规程》及相关法律法规进行考古发掘服务工作。</w:t>
            </w:r>
          </w:p>
          <w:p>
            <w:pPr>
              <w:pStyle w:val="null3"/>
            </w:pPr>
            <w:r>
              <w:rPr>
                <w:rFonts w:ascii="仿宋_GB2312" w:hAnsi="仿宋_GB2312" w:cs="仿宋_GB2312" w:eastAsia="仿宋_GB2312"/>
                <w:sz w:val="20"/>
                <w:color w:val="000000"/>
              </w:rPr>
              <w:t>2、考古发掘劳务服务工作须达到但不限于下列现行主要的中华人民共和国以及省、市或行业的技术标准或规范的要求：（1）《中华人民共和国文物保护法》（2）《中华人民共和国文物保护法实施条例》（3）《陕西省文物保护条例》（4）《田野考古工作规程》（5）其他相关资料等。</w:t>
            </w:r>
          </w:p>
          <w:p>
            <w:pPr>
              <w:pStyle w:val="null3"/>
            </w:pPr>
            <w:r>
              <w:rPr>
                <w:rFonts w:ascii="仿宋_GB2312" w:hAnsi="仿宋_GB2312" w:cs="仿宋_GB2312" w:eastAsia="仿宋_GB2312"/>
                <w:sz w:val="20"/>
                <w:color w:val="000000"/>
              </w:rPr>
              <w:t>3、对本项目及所处区域的考古发掘服务工作熟悉。具有对关键性问题的把握及解决方案、突发事件处理方案及安全预案的经验。</w:t>
            </w:r>
          </w:p>
          <w:p>
            <w:pPr>
              <w:pStyle w:val="null3"/>
            </w:pPr>
            <w:r>
              <w:rPr>
                <w:rFonts w:ascii="仿宋_GB2312" w:hAnsi="仿宋_GB2312" w:cs="仿宋_GB2312" w:eastAsia="仿宋_GB2312"/>
                <w:sz w:val="20"/>
                <w:color w:val="000000"/>
              </w:rPr>
              <w:t>4、发掘过程中，应采取合理措施，确保文物的安全。</w:t>
            </w:r>
          </w:p>
          <w:p>
            <w:pPr>
              <w:pStyle w:val="null3"/>
            </w:pPr>
            <w:r>
              <w:rPr>
                <w:rFonts w:ascii="仿宋_GB2312" w:hAnsi="仿宋_GB2312" w:cs="仿宋_GB2312" w:eastAsia="仿宋_GB2312"/>
                <w:sz w:val="20"/>
                <w:color w:val="000000"/>
              </w:rPr>
              <w:t>（三）安全要求：</w:t>
            </w:r>
          </w:p>
          <w:p>
            <w:pPr>
              <w:pStyle w:val="null3"/>
            </w:pPr>
            <w:r>
              <w:rPr>
                <w:rFonts w:ascii="仿宋_GB2312" w:hAnsi="仿宋_GB2312" w:cs="仿宋_GB2312" w:eastAsia="仿宋_GB2312"/>
                <w:sz w:val="20"/>
                <w:color w:val="000000"/>
              </w:rPr>
              <w:t xml:space="preserve">1、供应商应对自身安全负责，要遵守国家的相关安全规定。供应商应严格执行《考古工地安全协议》的相关要求，遵守考古工地的安全规定，确保考古工地的施工安全、人员安全和文物安全。  </w:t>
            </w:r>
          </w:p>
          <w:p>
            <w:pPr>
              <w:pStyle w:val="null3"/>
            </w:pPr>
            <w:r>
              <w:rPr>
                <w:rFonts w:ascii="仿宋_GB2312" w:hAnsi="仿宋_GB2312" w:cs="仿宋_GB2312" w:eastAsia="仿宋_GB2312"/>
                <w:sz w:val="20"/>
                <w:color w:val="000000"/>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pPr>
            <w:r>
              <w:rPr>
                <w:rFonts w:ascii="仿宋_GB2312" w:hAnsi="仿宋_GB2312" w:cs="仿宋_GB2312" w:eastAsia="仿宋_GB2312"/>
                <w:sz w:val="20"/>
                <w:color w:val="000000"/>
              </w:rPr>
              <w:t>3、供应商在考古发掘工作中对发现的古遗址、古墓葬等地下文物古迹负有看管保护的责任，并对相关信息负有保密的责任。</w:t>
            </w:r>
          </w:p>
          <w:p>
            <w:pPr>
              <w:pStyle w:val="null3"/>
            </w:pPr>
            <w:r>
              <w:rPr>
                <w:rFonts w:ascii="仿宋_GB2312" w:hAnsi="仿宋_GB2312" w:cs="仿宋_GB2312" w:eastAsia="仿宋_GB2312"/>
                <w:sz w:val="20"/>
                <w:b/>
                <w:color w:val="000000"/>
              </w:rPr>
              <w:t>四、服务要求</w:t>
            </w:r>
          </w:p>
          <w:p>
            <w:pPr>
              <w:pStyle w:val="null3"/>
            </w:pPr>
            <w:r>
              <w:rPr>
                <w:rFonts w:ascii="仿宋_GB2312" w:hAnsi="仿宋_GB2312" w:cs="仿宋_GB2312" w:eastAsia="仿宋_GB2312"/>
                <w:sz w:val="20"/>
                <w:color w:val="000000"/>
              </w:rPr>
              <w:t>安全，保质保量完成考古发掘劳务服务。</w:t>
            </w:r>
          </w:p>
          <w:p>
            <w:pPr>
              <w:pStyle w:val="null3"/>
            </w:pPr>
            <w:r>
              <w:rPr>
                <w:rFonts w:ascii="仿宋_GB2312" w:hAnsi="仿宋_GB2312" w:cs="仿宋_GB2312" w:eastAsia="仿宋_GB2312"/>
                <w:sz w:val="20"/>
                <w:b/>
                <w:color w:val="000000"/>
              </w:rPr>
              <w:t>五、商务要求</w:t>
            </w:r>
          </w:p>
          <w:p>
            <w:pPr>
              <w:pStyle w:val="null3"/>
            </w:pPr>
            <w:r>
              <w:rPr>
                <w:rFonts w:ascii="仿宋_GB2312" w:hAnsi="仿宋_GB2312" w:cs="仿宋_GB2312" w:eastAsia="仿宋_GB2312"/>
                <w:sz w:val="20"/>
                <w:color w:val="000000"/>
              </w:rPr>
              <w:t>1、服务期限</w:t>
            </w:r>
          </w:p>
          <w:p>
            <w:pPr>
              <w:pStyle w:val="null3"/>
            </w:pPr>
            <w:r>
              <w:rPr>
                <w:rFonts w:ascii="仿宋_GB2312" w:hAnsi="仿宋_GB2312" w:cs="仿宋_GB2312" w:eastAsia="仿宋_GB2312"/>
                <w:sz w:val="20"/>
                <w:color w:val="000000"/>
              </w:rPr>
              <w:t>自合同签订之日起</w:t>
            </w:r>
            <w:r>
              <w:rPr>
                <w:rFonts w:ascii="仿宋_GB2312" w:hAnsi="仿宋_GB2312" w:cs="仿宋_GB2312" w:eastAsia="仿宋_GB2312"/>
                <w:sz w:val="20"/>
                <w:color w:val="000000"/>
              </w:rPr>
              <w:t>180日历天。</w:t>
            </w:r>
          </w:p>
          <w:p>
            <w:pPr>
              <w:pStyle w:val="null3"/>
            </w:pPr>
            <w:r>
              <w:rPr>
                <w:rFonts w:ascii="仿宋_GB2312" w:hAnsi="仿宋_GB2312" w:cs="仿宋_GB2312" w:eastAsia="仿宋_GB2312"/>
                <w:sz w:val="20"/>
                <w:color w:val="000000"/>
              </w:rPr>
              <w:t>2、款项结算</w:t>
            </w:r>
          </w:p>
          <w:p>
            <w:pPr>
              <w:pStyle w:val="null3"/>
            </w:pPr>
            <w:r>
              <w:rPr>
                <w:rFonts w:ascii="仿宋_GB2312" w:hAnsi="仿宋_GB2312" w:cs="仿宋_GB2312" w:eastAsia="仿宋_GB2312"/>
                <w:sz w:val="20"/>
                <w:color w:val="000000"/>
              </w:rPr>
              <w:t>双方协商，在合同中明确。</w:t>
            </w:r>
          </w:p>
          <w:p>
            <w:pPr>
              <w:pStyle w:val="null3"/>
            </w:pPr>
            <w:r>
              <w:rPr>
                <w:rFonts w:ascii="仿宋_GB2312" w:hAnsi="仿宋_GB2312" w:cs="仿宋_GB2312" w:eastAsia="仿宋_GB2312"/>
                <w:sz w:val="20"/>
                <w:b/>
                <w:color w:val="000000"/>
              </w:rPr>
              <w:t>六、本项目需要落实的政府采购政策</w:t>
            </w:r>
          </w:p>
          <w:p>
            <w:pPr>
              <w:pStyle w:val="null3"/>
            </w:pPr>
            <w:r>
              <w:rPr>
                <w:rFonts w:ascii="仿宋_GB2312" w:hAnsi="仿宋_GB2312" w:cs="仿宋_GB2312" w:eastAsia="仿宋_GB2312"/>
                <w:sz w:val="20"/>
                <w:color w:val="000000"/>
              </w:rPr>
              <w:t>(1)《政府采购促进中小企业发展管理办法》(财库【2020】46号)；</w:t>
            </w:r>
          </w:p>
          <w:p>
            <w:pPr>
              <w:pStyle w:val="null3"/>
            </w:pPr>
            <w:r>
              <w:rPr>
                <w:rFonts w:ascii="仿宋_GB2312" w:hAnsi="仿宋_GB2312" w:cs="仿宋_GB2312" w:eastAsia="仿宋_GB2312"/>
                <w:sz w:val="20"/>
                <w:color w:val="000000"/>
              </w:rPr>
              <w:t>(2)《财政部司法部关于政府采购支持监狱企业发展有关问题的通知》(财库【2014】68号)；</w:t>
            </w:r>
          </w:p>
          <w:p>
            <w:pPr>
              <w:pStyle w:val="null3"/>
            </w:pPr>
            <w:r>
              <w:rPr>
                <w:rFonts w:ascii="仿宋_GB2312" w:hAnsi="仿宋_GB2312" w:cs="仿宋_GB2312" w:eastAsia="仿宋_GB2312"/>
                <w:sz w:val="20"/>
                <w:color w:val="000000"/>
              </w:rPr>
              <w:t>(3)《三部门联合发布关于促进残疾人就业政府采购政策的通知》(财库【2017】141号)；</w:t>
            </w:r>
          </w:p>
          <w:p>
            <w:pPr>
              <w:pStyle w:val="null3"/>
            </w:pPr>
            <w:r>
              <w:rPr>
                <w:rFonts w:ascii="仿宋_GB2312" w:hAnsi="仿宋_GB2312" w:cs="仿宋_GB2312" w:eastAsia="仿宋_GB2312"/>
                <w:sz w:val="20"/>
                <w:color w:val="000000"/>
              </w:rPr>
              <w:t>(4)财政部、国家发展改革委《关于印发〈节能产品政府采购实施意见〉的通知》(财库【2004】185号)；</w:t>
            </w:r>
          </w:p>
          <w:p>
            <w:pPr>
              <w:pStyle w:val="null3"/>
            </w:pPr>
            <w:r>
              <w:rPr>
                <w:rFonts w:ascii="仿宋_GB2312" w:hAnsi="仿宋_GB2312" w:cs="仿宋_GB2312" w:eastAsia="仿宋_GB2312"/>
                <w:sz w:val="20"/>
                <w:color w:val="000000"/>
              </w:rPr>
              <w:t>(5)财政部、国家环保总局联合印发《关于环境标志产品政府采购实施的意见》(财库【2006】90号)；</w:t>
            </w:r>
          </w:p>
          <w:p>
            <w:pPr>
              <w:pStyle w:val="null3"/>
            </w:pPr>
            <w:r>
              <w:rPr>
                <w:rFonts w:ascii="仿宋_GB2312" w:hAnsi="仿宋_GB2312" w:cs="仿宋_GB2312" w:eastAsia="仿宋_GB2312"/>
                <w:sz w:val="20"/>
                <w:color w:val="000000"/>
              </w:rPr>
              <w:t>(6)《国务院办公厅关于建立政府强制采购节能产品制度的通知》(国发办【2007】51号)；</w:t>
            </w:r>
          </w:p>
          <w:p>
            <w:pPr>
              <w:pStyle w:val="null3"/>
            </w:pPr>
            <w:r>
              <w:rPr>
                <w:rFonts w:ascii="仿宋_GB2312" w:hAnsi="仿宋_GB2312" w:cs="仿宋_GB2312" w:eastAsia="仿宋_GB2312"/>
                <w:sz w:val="20"/>
                <w:color w:val="000000"/>
              </w:rPr>
              <w:t>(7)《财政部发展改革委生态环境部市场监管总局关于调整优化节能产品、环境标志产品政府采购执行机制的通知》(财库【2019】9号)；</w:t>
            </w:r>
          </w:p>
          <w:p>
            <w:pPr>
              <w:pStyle w:val="null3"/>
            </w:pPr>
            <w:r>
              <w:rPr>
                <w:rFonts w:ascii="仿宋_GB2312" w:hAnsi="仿宋_GB2312" w:cs="仿宋_GB2312" w:eastAsia="仿宋_GB2312"/>
                <w:sz w:val="20"/>
                <w:color w:val="000000"/>
              </w:rPr>
              <w:t>(8)《关于印发节能产品政府采购品目清单的通知》(财库【2019】19号)；</w:t>
            </w:r>
          </w:p>
          <w:p>
            <w:pPr>
              <w:pStyle w:val="null3"/>
            </w:pPr>
            <w:r>
              <w:rPr>
                <w:rFonts w:ascii="仿宋_GB2312" w:hAnsi="仿宋_GB2312" w:cs="仿宋_GB2312" w:eastAsia="仿宋_GB2312"/>
                <w:sz w:val="20"/>
                <w:color w:val="000000"/>
              </w:rPr>
              <w:t>(9)关于印发环境标志产品政府采购品目清单的通知(财库【2019】18号)；</w:t>
            </w:r>
          </w:p>
          <w:p>
            <w:pPr>
              <w:pStyle w:val="null3"/>
            </w:pPr>
            <w:r>
              <w:rPr>
                <w:rFonts w:ascii="仿宋_GB2312" w:hAnsi="仿宋_GB2312" w:cs="仿宋_GB2312" w:eastAsia="仿宋_GB2312"/>
                <w:sz w:val="20"/>
                <w:color w:val="000000"/>
              </w:rPr>
              <w:t>(10)《财政部、农业农村部、国家乡村振兴局关于运用政府采购政策支持乡村产业振兴的通知》(财库〔2021〕19号)；</w:t>
            </w:r>
          </w:p>
          <w:p>
            <w:pPr>
              <w:pStyle w:val="null3"/>
            </w:pPr>
            <w:r>
              <w:rPr>
                <w:rFonts w:ascii="仿宋_GB2312" w:hAnsi="仿宋_GB2312" w:cs="仿宋_GB2312" w:eastAsia="仿宋_GB2312"/>
                <w:sz w:val="20"/>
                <w:color w:val="000000"/>
              </w:rPr>
              <w:t>(11)《陕西省中小企业政府采购信用融资办法》(陕财办采〔2018〕23号)；</w:t>
            </w:r>
          </w:p>
          <w:p>
            <w:pPr>
              <w:pStyle w:val="null3"/>
            </w:pPr>
            <w:r>
              <w:rPr>
                <w:rFonts w:ascii="仿宋_GB2312" w:hAnsi="仿宋_GB2312" w:cs="仿宋_GB2312" w:eastAsia="仿宋_GB2312"/>
                <w:sz w:val="20"/>
                <w:color w:val="000000"/>
              </w:rPr>
              <w:t>(12)《财政部关于进一步加大政府采购支持中小企业力度的通知》（财库〔2022〕19号）；</w:t>
            </w:r>
          </w:p>
          <w:p>
            <w:pPr>
              <w:pStyle w:val="null3"/>
            </w:pPr>
            <w:r>
              <w:rPr>
                <w:rFonts w:ascii="仿宋_GB2312" w:hAnsi="仿宋_GB2312" w:cs="仿宋_GB2312" w:eastAsia="仿宋_GB2312"/>
                <w:sz w:val="20"/>
                <w:color w:val="000000"/>
              </w:rPr>
              <w:t>(13)《陕西省财政厅关于加快推进我省中小企业政府采购信用融资工作的通知》（陕财办采〔2020〕15号）；</w:t>
            </w:r>
          </w:p>
          <w:p>
            <w:pPr>
              <w:pStyle w:val="null3"/>
            </w:pPr>
            <w:r>
              <w:rPr>
                <w:rFonts w:ascii="仿宋_GB2312" w:hAnsi="仿宋_GB2312" w:cs="仿宋_GB2312" w:eastAsia="仿宋_GB2312"/>
                <w:sz w:val="20"/>
                <w:color w:val="000000"/>
              </w:rPr>
              <w:t>(14)《关于扩大政府采购支持绿色建材促进建筑品质提升政策实施范围的通知》（财库〔2022〕35 号）；</w:t>
            </w:r>
          </w:p>
          <w:p>
            <w:pPr>
              <w:pStyle w:val="null3"/>
            </w:pPr>
            <w:r>
              <w:rPr>
                <w:rFonts w:ascii="仿宋_GB2312" w:hAnsi="仿宋_GB2312" w:cs="仿宋_GB2312" w:eastAsia="仿宋_GB2312"/>
                <w:sz w:val="20"/>
                <w:color w:val="000000"/>
              </w:rPr>
              <w:t>注：如有最新颁布的政府采购政策，按最新的文件执行。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具有考古发掘劳务服务工作经验，供应商须提供针对本项目的详细人员配备情况。</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合同签订并进场发掘后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待发掘技术单位报请主管部门完成最终验收工作并取得相关文物报告后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其他未列明行业。2、中标人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有效的法人或者其他组织的营业执照等证明文件，自然人的身份证明；2.财务状况：提供上一年度的经审计的财务报表或本年度基本开户银行出具的资信证明；3.提供可充分满足履行合同所需设备和专业技术能力的证明材料或承诺；4.提供近六个月中任何一个月的完税证明或免税证明（加盖公章）；5.提供近六个月中任何一个月的社会保障资金缴纳记录或免缴纳证明（加盖公章）；6.参加政府采购活动前3年内，在经营活动中没有重大违法记录的书面声明；7.不存在违反法律、法规的情况（提供承诺）。</w:t>
            </w:r>
          </w:p>
        </w:tc>
        <w:tc>
          <w:tcPr>
            <w:tcW w:type="dxa" w:w="1661"/>
          </w:tcPr>
          <w:p>
            <w:pPr>
              <w:pStyle w:val="null3"/>
            </w:pPr>
            <w:r>
              <w:rPr>
                <w:rFonts w:ascii="仿宋_GB2312" w:hAnsi="仿宋_GB2312" w:cs="仿宋_GB2312" w:eastAsia="仿宋_GB2312"/>
              </w:rPr>
              <w:t>资格证明文件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供应商需在项目电子化交易系统中按要求上传相应证明文件并进行电子签章。提供上一年度的经审计的财务报表或本年度基本开户银行出具的资信证明。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供应商未被列入“信用中国”（www.creditchina.gov.cn）记录的“严重失信主体名单”和“重大税收违法失信主体”名单；未被列入“中国政府采购网”（www.ccgp.gov.cn）中的“政府采购严重违法失信行为记录名单”。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2.1单位负责人为同一人或者存在直接控股、管理关系的不同供应商不得参加同一合同项下的政府采购活动；2.2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按招标文件格式要求签署、盖章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供应商投标报价没有超出采购预算或最高限价</w:t>
            </w:r>
          </w:p>
        </w:tc>
        <w:tc>
          <w:tcPr>
            <w:tcW w:type="dxa" w:w="1661"/>
          </w:tcPr>
          <w:p>
            <w:pPr>
              <w:pStyle w:val="null3"/>
            </w:pPr>
            <w:r>
              <w:rPr>
                <w:rFonts w:ascii="仿宋_GB2312" w:hAnsi="仿宋_GB2312" w:cs="仿宋_GB2312" w:eastAsia="仿宋_GB2312"/>
              </w:rPr>
              <w:t>开标一览表 标的清单 分项报价明细表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考古发掘方案</w:t>
            </w:r>
          </w:p>
        </w:tc>
        <w:tc>
          <w:tcPr>
            <w:tcW w:type="dxa" w:w="2492"/>
          </w:tcPr>
          <w:p>
            <w:pPr>
              <w:pStyle w:val="null3"/>
            </w:pPr>
            <w:r>
              <w:rPr>
                <w:rFonts w:ascii="仿宋_GB2312" w:hAnsi="仿宋_GB2312" w:cs="仿宋_GB2312" w:eastAsia="仿宋_GB2312"/>
              </w:rPr>
              <w:t>投标人针对本项目编制合理的考古发掘方案，内容包括前期准备工作、项目实施过程中确保施工安全的方案、人员安全管理、完工后项目的后续处理等。方案内容科学合理、针对性强、可行性强、符合实际情况的计10分；方案内容齐全、有一定针对性、可行性的计8分；方案内容基本齐全，针对性、可行性一般计5分；方案内容不齐全，没有可行性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文物保护方案</w:t>
            </w:r>
          </w:p>
        </w:tc>
        <w:tc>
          <w:tcPr>
            <w:tcW w:type="dxa" w:w="2492"/>
          </w:tcPr>
          <w:p>
            <w:pPr>
              <w:pStyle w:val="null3"/>
            </w:pPr>
            <w:r>
              <w:rPr>
                <w:rFonts w:ascii="仿宋_GB2312" w:hAnsi="仿宋_GB2312" w:cs="仿宋_GB2312" w:eastAsia="仿宋_GB2312"/>
              </w:rPr>
              <w:t>投标人针对本项目编制可行的文物保护方案，内容包括古遗迹、地下文物古迹、文物本身等的保护安保以及对存放文物库房的看护安保等。方案内容可行性强、符合实际情况的计10分；方案内容有一定针对性、可行性的计8分； 方案内容针对性、可行性一般计5分； 方案内容可行性较差计2分。未提供不得分。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投标人针对本项目提供服务保障措施，包括组织保障、人员保障，以及在工作中突发的紧急安全措施等。保障措施内容详细完善、规范、明确计10分； 保障措施内容齐全，基本规范、明确计8分；保障措施基本完善计5分；保障措施不完善计2分。未提供不得分。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投标人根据项目工作特点提供完善的的应急预案措施。 应急预案措施科学合理、全面，实施性强，有针对性计10分；应急预案措施较科学合理、较全面，有一定实施性计8分；应急预案措施基本合理、全面，实施性一般计5分；有应急预案，实施性较差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投标人针对本项目提供项目团队配置方案，内容包括团队人员配置明细、团队人员管理制度、配置人员资格、职称及工作经验等。团队配置专门针对本项目且阐述明晰、全面、合理计10分；团队配置有一定针对性、基本完善计8分；团队配置针对性一般，内容简单计5分；团队配置描述过于简单、与项目特点不匹配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投标人针对本项目提供服务承诺，包括项目质量承诺、项目实施进度承诺、后期服务承诺、人员到位情况承诺等。内容全面，针对性强、可行性强、符合实际情况的计10分； 内容比较全面，有一定针对性、可行性的计8分；内容基本齐全，针对性、可行性一般计5 分；内容不齐全，可行性较差计2分。未提供不得分。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投标人具有2023年1月1日至今（以合同签订时间为准）类似考古发掘劳务服务业绩，投标文件中提供合同复印件加盖公章，每提供一个得2分，最高得10分。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