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038FA">
      <w:pPr>
        <w:shd w:val="clear" w:color="auto" w:fill="auto"/>
        <w:kinsoku/>
        <w:autoSpaceDE/>
        <w:autoSpaceDN/>
        <w:adjustRightInd/>
        <w:snapToGrid/>
        <w:jc w:val="center"/>
        <w:textAlignment w:val="auto"/>
        <w:rPr>
          <w:rFonts w:hint="eastAsia" w:ascii="宋体" w:hAnsi="宋体" w:eastAsia="宋体" w:cs="宋体"/>
          <w:b/>
          <w:snapToGrid/>
          <w:color w:val="auto"/>
          <w:sz w:val="24"/>
          <w:szCs w:val="24"/>
          <w:highlight w:val="none"/>
          <w:lang w:eastAsia="zh-CN"/>
        </w:rPr>
      </w:pPr>
      <w:r>
        <w:rPr>
          <w:rFonts w:hint="eastAsia" w:ascii="仿宋_GB2312" w:hAnsi="仿宋_GB2312" w:eastAsia="仿宋_GB2312" w:cs="仿宋_GB2312"/>
          <w:b/>
          <w:snapToGrid/>
          <w:sz w:val="36"/>
          <w:szCs w:val="24"/>
          <w:lang w:val="en-US" w:eastAsia="zh-Hans"/>
        </w:rPr>
        <w:t>第八章 拟签订采购合同文本</w:t>
      </w:r>
    </w:p>
    <w:p w14:paraId="5914ACA5">
      <w:pPr>
        <w:kinsoku/>
        <w:autoSpaceDE/>
        <w:autoSpaceDN/>
        <w:adjustRightInd/>
        <w:snapToGrid/>
        <w:spacing w:line="560" w:lineRule="exact"/>
        <w:ind w:left="-149" w:leftChars="-71" w:firstLine="720" w:firstLineChars="300"/>
        <w:jc w:val="center"/>
        <w:textAlignment w:val="auto"/>
        <w:rPr>
          <w:rFonts w:hint="eastAsia" w:ascii="宋体" w:hAnsi="宋体" w:eastAsia="宋体" w:cs="Times New Roman"/>
          <w:snapToGrid/>
          <w:color w:val="auto"/>
          <w:sz w:val="24"/>
          <w:szCs w:val="21"/>
          <w:lang w:val="en-US" w:eastAsia="zh-CN"/>
        </w:rPr>
      </w:pPr>
      <w:r>
        <w:rPr>
          <w:rFonts w:hint="eastAsia" w:ascii="宋体" w:hAnsi="宋体" w:eastAsia="宋体" w:cs="Times New Roman"/>
          <w:snapToGrid/>
          <w:color w:val="auto"/>
          <w:sz w:val="24"/>
          <w:szCs w:val="21"/>
          <w:lang w:eastAsia="zh-CN"/>
        </w:rPr>
        <w:t>（示范文本）</w:t>
      </w:r>
    </w:p>
    <w:p w14:paraId="08DD3BE9">
      <w:pPr>
        <w:kinsoku/>
        <w:autoSpaceDE/>
        <w:autoSpaceDN/>
        <w:adjustRightInd/>
        <w:snapToGrid/>
        <w:spacing w:line="560" w:lineRule="exact"/>
        <w:ind w:left="-149" w:leftChars="-71" w:firstLine="720" w:firstLineChars="300"/>
        <w:textAlignment w:val="auto"/>
        <w:rPr>
          <w:rFonts w:hint="eastAsia" w:ascii="宋体" w:hAnsi="宋体" w:eastAsia="宋体" w:cs="Times New Roman"/>
          <w:snapToGrid/>
          <w:color w:val="auto"/>
          <w:sz w:val="24"/>
          <w:szCs w:val="21"/>
          <w:lang w:val="en-US" w:eastAsia="zh-CN"/>
        </w:rPr>
      </w:pPr>
      <w:r>
        <w:rPr>
          <w:rFonts w:hint="eastAsia" w:ascii="宋体" w:hAnsi="宋体" w:eastAsia="宋体" w:cs="Times New Roman"/>
          <w:snapToGrid/>
          <w:color w:val="auto"/>
          <w:sz w:val="24"/>
          <w:szCs w:val="21"/>
          <w:lang w:val="en-US" w:eastAsia="zh-CN"/>
        </w:rPr>
        <w:t xml:space="preserve">合同编号： </w:t>
      </w:r>
    </w:p>
    <w:p w14:paraId="7D50A2F6">
      <w:pPr>
        <w:kinsoku/>
        <w:autoSpaceDE/>
        <w:autoSpaceDN/>
        <w:adjustRightInd/>
        <w:snapToGrid/>
        <w:spacing w:line="560" w:lineRule="exact"/>
        <w:ind w:left="-149" w:leftChars="-71" w:firstLine="720" w:firstLineChars="300"/>
        <w:textAlignment w:val="auto"/>
        <w:rPr>
          <w:rFonts w:ascii="宋体" w:hAnsi="宋体" w:eastAsia="宋体" w:cs="Times New Roman"/>
          <w:snapToGrid/>
          <w:color w:val="auto"/>
          <w:sz w:val="24"/>
          <w:szCs w:val="21"/>
          <w:u w:val="single"/>
          <w:lang w:eastAsia="zh-CN"/>
        </w:rPr>
      </w:pPr>
      <w:r>
        <w:rPr>
          <w:rFonts w:hint="eastAsia" w:ascii="宋体" w:hAnsi="宋体" w:eastAsia="宋体" w:cs="Times New Roman"/>
          <w:snapToGrid/>
          <w:color w:val="auto"/>
          <w:sz w:val="24"/>
          <w:szCs w:val="21"/>
          <w:lang w:eastAsia="zh-CN"/>
        </w:rPr>
        <w:t>甲方（发包方）：</w:t>
      </w:r>
      <w:r>
        <w:rPr>
          <w:rFonts w:hint="eastAsia" w:ascii="宋体" w:hAnsi="宋体" w:eastAsia="宋体" w:cs="Times New Roman"/>
          <w:snapToGrid/>
          <w:color w:val="auto"/>
          <w:sz w:val="24"/>
          <w:szCs w:val="21"/>
          <w:lang w:val="en-US" w:eastAsia="zh-CN"/>
        </w:rPr>
        <w:t xml:space="preserve"> </w:t>
      </w:r>
      <w:r>
        <w:rPr>
          <w:rFonts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u w:val="single"/>
          <w:lang w:val="en-US" w:eastAsia="zh-CN"/>
        </w:rPr>
        <w:t xml:space="preserve"> </w:t>
      </w:r>
      <w:r>
        <w:rPr>
          <w:rFonts w:ascii="宋体" w:hAnsi="宋体" w:eastAsia="宋体" w:cs="Times New Roman"/>
          <w:snapToGrid/>
          <w:color w:val="auto"/>
          <w:sz w:val="24"/>
          <w:szCs w:val="21"/>
          <w:u w:val="single"/>
          <w:lang w:eastAsia="zh-CN"/>
        </w:rPr>
        <w:t xml:space="preserve">  </w:t>
      </w:r>
    </w:p>
    <w:p w14:paraId="0CBC7BE9">
      <w:pPr>
        <w:kinsoku/>
        <w:autoSpaceDE/>
        <w:autoSpaceDN/>
        <w:adjustRightInd/>
        <w:snapToGrid/>
        <w:spacing w:line="560" w:lineRule="exact"/>
        <w:ind w:firstLine="480" w:firstLineChars="200"/>
        <w:textAlignment w:val="auto"/>
        <w:rPr>
          <w:rFonts w:ascii="宋体" w:hAnsi="宋体" w:eastAsia="宋体" w:cs="Times New Roman"/>
          <w:snapToGrid/>
          <w:color w:val="auto"/>
          <w:sz w:val="24"/>
          <w:szCs w:val="21"/>
          <w:u w:val="single"/>
          <w:lang w:eastAsia="zh-CN"/>
        </w:rPr>
      </w:pPr>
      <w:r>
        <w:rPr>
          <w:rFonts w:hint="eastAsia" w:ascii="宋体" w:hAnsi="宋体" w:eastAsia="宋体" w:cs="Times New Roman"/>
          <w:snapToGrid/>
          <w:color w:val="auto"/>
          <w:sz w:val="24"/>
          <w:szCs w:val="21"/>
          <w:lang w:eastAsia="zh-CN"/>
        </w:rPr>
        <w:t>地址：</w:t>
      </w:r>
      <w:r>
        <w:rPr>
          <w:rFonts w:hint="eastAsia"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u w:val="single"/>
          <w:lang w:val="en-US" w:eastAsia="zh-CN"/>
        </w:rPr>
        <w:t xml:space="preserve">                             </w:t>
      </w:r>
      <w:r>
        <w:rPr>
          <w:rFonts w:ascii="宋体" w:hAnsi="宋体" w:eastAsia="宋体" w:cs="Times New Roman"/>
          <w:snapToGrid/>
          <w:color w:val="auto"/>
          <w:sz w:val="24"/>
          <w:szCs w:val="21"/>
          <w:u w:val="single"/>
          <w:lang w:eastAsia="zh-CN"/>
        </w:rPr>
        <w:t xml:space="preserve"> </w:t>
      </w:r>
    </w:p>
    <w:p w14:paraId="0F3914DC">
      <w:pPr>
        <w:kinsoku/>
        <w:autoSpaceDE/>
        <w:autoSpaceDN/>
        <w:adjustRightInd/>
        <w:snapToGrid/>
        <w:spacing w:line="560" w:lineRule="exact"/>
        <w:ind w:firstLine="480" w:firstLineChars="200"/>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联系人：</w:t>
      </w:r>
      <w:r>
        <w:rPr>
          <w:rFonts w:hint="eastAsia" w:ascii="宋体" w:hAnsi="宋体" w:eastAsia="宋体" w:cs="Times New Roman"/>
          <w:snapToGrid/>
          <w:color w:val="auto"/>
          <w:sz w:val="24"/>
          <w:szCs w:val="21"/>
          <w:u w:val="single"/>
          <w:lang w:eastAsia="zh-CN"/>
        </w:rPr>
        <w:t xml:space="preserve"> </w:t>
      </w:r>
      <w:r>
        <w:rPr>
          <w:rFonts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u w:val="single"/>
          <w:lang w:val="en-US" w:eastAsia="zh-CN"/>
        </w:rPr>
        <w:t xml:space="preserve"> </w:t>
      </w:r>
      <w:r>
        <w:rPr>
          <w:rFonts w:ascii="宋体" w:hAnsi="宋体" w:eastAsia="宋体" w:cs="Times New Roman"/>
          <w:snapToGrid/>
          <w:color w:val="auto"/>
          <w:sz w:val="24"/>
          <w:szCs w:val="21"/>
          <w:u w:val="single"/>
          <w:lang w:eastAsia="zh-CN"/>
        </w:rPr>
        <w:t xml:space="preserve"> </w:t>
      </w:r>
    </w:p>
    <w:p w14:paraId="1863EBE8">
      <w:pPr>
        <w:kinsoku/>
        <w:autoSpaceDE/>
        <w:autoSpaceDN/>
        <w:adjustRightInd/>
        <w:snapToGrid/>
        <w:spacing w:line="560" w:lineRule="exact"/>
        <w:ind w:left="-71" w:leftChars="-171" w:hanging="288" w:hangingChars="120"/>
        <w:textAlignment w:val="auto"/>
        <w:rPr>
          <w:rFonts w:ascii="宋体" w:hAnsi="宋体" w:eastAsia="宋体" w:cs="Times New Roman"/>
          <w:snapToGrid/>
          <w:color w:val="auto"/>
          <w:sz w:val="24"/>
          <w:szCs w:val="21"/>
          <w:u w:val="single"/>
          <w:lang w:eastAsia="zh-CN"/>
        </w:rPr>
      </w:pPr>
      <w:r>
        <w:rPr>
          <w:rFonts w:hint="eastAsia" w:ascii="宋体" w:hAnsi="宋体" w:eastAsia="宋体" w:cs="Times New Roman"/>
          <w:snapToGrid/>
          <w:color w:val="auto"/>
          <w:sz w:val="24"/>
          <w:szCs w:val="21"/>
          <w:lang w:eastAsia="zh-CN"/>
        </w:rPr>
        <w:t xml:space="preserve">   </w:t>
      </w:r>
      <w:r>
        <w:rPr>
          <w:rFonts w:ascii="宋体" w:hAnsi="宋体" w:eastAsia="宋体" w:cs="Times New Roman"/>
          <w:snapToGrid/>
          <w:color w:val="auto"/>
          <w:sz w:val="24"/>
          <w:szCs w:val="21"/>
          <w:lang w:eastAsia="zh-CN"/>
        </w:rPr>
        <w:t xml:space="preserve">    </w:t>
      </w:r>
      <w:r>
        <w:rPr>
          <w:rFonts w:hint="eastAsia" w:ascii="宋体" w:hAnsi="宋体" w:eastAsia="宋体" w:cs="Times New Roman"/>
          <w:snapToGrid/>
          <w:color w:val="auto"/>
          <w:sz w:val="24"/>
          <w:szCs w:val="21"/>
          <w:lang w:eastAsia="zh-CN"/>
        </w:rPr>
        <w:t>乙方（承包方) :</w:t>
      </w:r>
      <w:r>
        <w:rPr>
          <w:rFonts w:hint="eastAsia" w:ascii="宋体" w:hAnsi="宋体" w:eastAsia="宋体" w:cs="Times New Roman"/>
          <w:snapToGrid/>
          <w:color w:val="auto"/>
          <w:sz w:val="24"/>
          <w:szCs w:val="21"/>
          <w:u w:val="single"/>
          <w:lang w:eastAsia="zh-CN"/>
        </w:rPr>
        <w:t xml:space="preserve">   </w:t>
      </w:r>
      <w:r>
        <w:rPr>
          <w:rFonts w:ascii="宋体" w:hAnsi="宋体" w:eastAsia="宋体" w:cs="Times New Roman"/>
          <w:snapToGrid/>
          <w:color w:val="auto"/>
          <w:sz w:val="24"/>
          <w:szCs w:val="21"/>
          <w:u w:val="single"/>
          <w:lang w:eastAsia="zh-CN"/>
        </w:rPr>
        <w:t xml:space="preserve">                   </w:t>
      </w:r>
    </w:p>
    <w:p w14:paraId="12A2EE07">
      <w:pPr>
        <w:kinsoku/>
        <w:autoSpaceDE/>
        <w:autoSpaceDN/>
        <w:adjustRightInd/>
        <w:snapToGrid/>
        <w:spacing w:line="560" w:lineRule="exact"/>
        <w:ind w:firstLine="480" w:firstLineChars="200"/>
        <w:textAlignment w:val="auto"/>
        <w:rPr>
          <w:rFonts w:hint="eastAsia" w:ascii="宋体" w:hAnsi="宋体" w:eastAsia="宋体" w:cs="Times New Roman"/>
          <w:snapToGrid/>
          <w:color w:val="auto"/>
          <w:sz w:val="24"/>
          <w:szCs w:val="21"/>
          <w:lang w:val="en-US" w:eastAsia="zh-CN"/>
        </w:rPr>
      </w:pPr>
      <w:r>
        <w:rPr>
          <w:rFonts w:hint="eastAsia" w:ascii="宋体" w:hAnsi="宋体" w:eastAsia="宋体" w:cs="Times New Roman"/>
          <w:snapToGrid/>
          <w:color w:val="auto"/>
          <w:sz w:val="24"/>
          <w:szCs w:val="21"/>
          <w:lang w:eastAsia="zh-CN"/>
        </w:rPr>
        <w:t>地址：</w:t>
      </w:r>
      <w:r>
        <w:rPr>
          <w:rFonts w:hint="eastAsia" w:ascii="宋体" w:hAnsi="宋体" w:eastAsia="宋体" w:cs="Times New Roman"/>
          <w:snapToGrid/>
          <w:color w:val="auto"/>
          <w:sz w:val="24"/>
          <w:szCs w:val="21"/>
          <w:u w:val="single"/>
          <w:lang w:eastAsia="zh-CN"/>
        </w:rPr>
        <w:t xml:space="preserve"> </w:t>
      </w:r>
      <w:r>
        <w:rPr>
          <w:rFonts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u w:val="single"/>
          <w:lang w:val="en-US" w:eastAsia="zh-CN"/>
        </w:rPr>
        <w:t xml:space="preserve">  </w:t>
      </w:r>
      <w:r>
        <w:rPr>
          <w:rFonts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u w:val="single"/>
          <w:lang w:val="en-US" w:eastAsia="zh-CN"/>
        </w:rPr>
        <w:t xml:space="preserve"> </w:t>
      </w:r>
    </w:p>
    <w:p w14:paraId="643BEF85">
      <w:pPr>
        <w:kinsoku/>
        <w:autoSpaceDE/>
        <w:autoSpaceDN/>
        <w:adjustRightInd/>
        <w:snapToGrid/>
        <w:spacing w:line="560" w:lineRule="exact"/>
        <w:ind w:firstLine="480" w:firstLineChars="200"/>
        <w:textAlignment w:val="auto"/>
        <w:rPr>
          <w:rFonts w:hint="eastAsia" w:ascii="Calibri" w:hAnsi="Calibri" w:eastAsia="宋体" w:cs="Times New Roman"/>
          <w:snapToGrid/>
          <w:color w:val="auto"/>
          <w:sz w:val="24"/>
          <w:szCs w:val="21"/>
          <w:u w:val="single"/>
          <w:lang w:eastAsia="zh-CN"/>
        </w:rPr>
      </w:pPr>
      <w:r>
        <w:rPr>
          <w:rFonts w:hint="eastAsia" w:ascii="宋体" w:hAnsi="宋体" w:eastAsia="宋体" w:cs="Times New Roman"/>
          <w:snapToGrid/>
          <w:color w:val="auto"/>
          <w:sz w:val="24"/>
          <w:szCs w:val="21"/>
          <w:lang w:eastAsia="zh-CN"/>
        </w:rPr>
        <w:t xml:space="preserve">联系人： </w:t>
      </w:r>
      <w:r>
        <w:rPr>
          <w:rFonts w:hint="eastAsia" w:ascii="仿宋" w:hAnsi="仿宋" w:eastAsia="仿宋" w:cs="仿宋"/>
          <w:snapToGrid/>
          <w:color w:val="auto"/>
          <w:sz w:val="24"/>
          <w:szCs w:val="21"/>
          <w:u w:val="single"/>
          <w:lang w:eastAsia="zh-CN"/>
        </w:rPr>
        <w:t xml:space="preserve">                 </w:t>
      </w:r>
      <w:r>
        <w:rPr>
          <w:rFonts w:hint="eastAsia"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u w:val="single"/>
          <w:lang w:val="en-US" w:eastAsia="zh-CN"/>
        </w:rPr>
        <w:t xml:space="preserve">   </w:t>
      </w:r>
      <w:r>
        <w:rPr>
          <w:rFonts w:hint="eastAsia"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u w:val="single"/>
          <w:lang w:val="en-US" w:eastAsia="zh-CN"/>
        </w:rPr>
        <w:t xml:space="preserve"> </w:t>
      </w:r>
      <w:r>
        <w:rPr>
          <w:rFonts w:hint="eastAsia" w:ascii="宋体" w:hAnsi="宋体" w:eastAsia="宋体" w:cs="Times New Roman"/>
          <w:snapToGrid/>
          <w:color w:val="auto"/>
          <w:sz w:val="24"/>
          <w:szCs w:val="21"/>
          <w:u w:val="single"/>
          <w:lang w:eastAsia="zh-CN"/>
        </w:rPr>
        <w:t xml:space="preserve"> </w:t>
      </w:r>
      <w:r>
        <w:rPr>
          <w:rFonts w:ascii="宋体" w:hAnsi="宋体" w:eastAsia="宋体" w:cs="Times New Roman"/>
          <w:snapToGrid/>
          <w:color w:val="auto"/>
          <w:sz w:val="24"/>
          <w:szCs w:val="21"/>
          <w:u w:val="single"/>
          <w:lang w:eastAsia="zh-CN"/>
        </w:rPr>
        <w:t xml:space="preserve"> </w:t>
      </w:r>
    </w:p>
    <w:p w14:paraId="5D054088">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 xml:space="preserve">   根据《中华人民共和国政府采购法》及实施条例、《中华人民共和国民法典》和甲方</w:t>
      </w:r>
      <w:r>
        <w:rPr>
          <w:rFonts w:hint="eastAsia" w:ascii="宋体" w:hAnsi="宋体" w:eastAsia="宋体" w:cs="Times New Roman"/>
          <w:snapToGrid/>
          <w:color w:val="auto"/>
          <w:sz w:val="24"/>
          <w:szCs w:val="21"/>
          <w:u w:val="single"/>
          <w:lang w:val="en-US" w:eastAsia="zh-CN"/>
        </w:rPr>
        <w:t>碑林区2026年绿化养护市场化购买服务</w:t>
      </w:r>
      <w:r>
        <w:rPr>
          <w:rFonts w:hint="eastAsia" w:ascii="宋体" w:hAnsi="宋体" w:eastAsia="宋体" w:cs="Times New Roman"/>
          <w:snapToGrid/>
          <w:color w:val="auto"/>
          <w:sz w:val="24"/>
          <w:szCs w:val="21"/>
          <w:u w:val="single"/>
          <w:lang w:eastAsia="zh-CN"/>
        </w:rPr>
        <w:t>（项目名称）</w:t>
      </w:r>
      <w:r>
        <w:rPr>
          <w:rFonts w:hint="eastAsia" w:ascii="宋体" w:hAnsi="宋体" w:eastAsia="宋体" w:cs="Times New Roman"/>
          <w:snapToGrid/>
          <w:color w:val="auto"/>
          <w:sz w:val="24"/>
          <w:szCs w:val="21"/>
          <w:lang w:eastAsia="zh-CN"/>
        </w:rPr>
        <w:t>（项目编号：</w:t>
      </w:r>
      <w:r>
        <w:rPr>
          <w:rFonts w:hint="eastAsia" w:ascii="宋体" w:hAnsi="宋体" w:eastAsia="宋体" w:cs="Times New Roman"/>
          <w:snapToGrid/>
          <w:color w:val="auto"/>
          <w:sz w:val="24"/>
          <w:szCs w:val="21"/>
          <w:u w:val="single"/>
          <w:lang w:eastAsia="zh-CN"/>
        </w:rPr>
        <w:t xml:space="preserve"> </w:t>
      </w:r>
      <w:r>
        <w:rPr>
          <w:rFonts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lang w:eastAsia="zh-CN"/>
        </w:rPr>
        <w:t>）的招标文件、投标文件等有关规定，双方就承包西安市碑林区城市管理和综合执法局辖区</w:t>
      </w:r>
      <w:r>
        <w:rPr>
          <w:rFonts w:hint="eastAsia" w:ascii="宋体" w:hAnsi="宋体" w:eastAsia="宋体" w:cs="Times New Roman"/>
          <w:snapToGrid/>
          <w:color w:val="auto"/>
          <w:sz w:val="24"/>
          <w:szCs w:val="21"/>
          <w:lang w:val="en-US" w:eastAsia="zh-CN"/>
        </w:rPr>
        <w:t>绿化养护</w:t>
      </w:r>
      <w:r>
        <w:rPr>
          <w:rFonts w:hint="eastAsia" w:ascii="宋体" w:hAnsi="宋体" w:eastAsia="宋体" w:cs="Times New Roman"/>
          <w:snapToGrid/>
          <w:color w:val="auto"/>
          <w:sz w:val="24"/>
          <w:szCs w:val="21"/>
          <w:lang w:eastAsia="zh-CN"/>
        </w:rPr>
        <w:t>服务达成如下合同条款。</w:t>
      </w:r>
    </w:p>
    <w:p w14:paraId="1634AFE2">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b/>
          <w:snapToGrid/>
          <w:color w:val="auto"/>
          <w:sz w:val="24"/>
          <w:szCs w:val="21"/>
          <w:lang w:eastAsia="zh-CN"/>
        </w:rPr>
        <w:t>第一条 养护</w:t>
      </w:r>
      <w:r>
        <w:rPr>
          <w:rFonts w:hint="eastAsia" w:ascii="宋体" w:hAnsi="宋体" w:eastAsia="宋体" w:cs="Times New Roman"/>
          <w:b/>
          <w:snapToGrid/>
          <w:color w:val="auto"/>
          <w:sz w:val="24"/>
          <w:szCs w:val="21"/>
          <w:lang w:val="en-US" w:eastAsia="zh-CN"/>
        </w:rPr>
        <w:t>项目</w:t>
      </w:r>
      <w:r>
        <w:rPr>
          <w:rFonts w:hint="eastAsia" w:ascii="宋体" w:hAnsi="宋体" w:eastAsia="宋体" w:cs="Times New Roman"/>
          <w:b/>
          <w:snapToGrid/>
          <w:color w:val="auto"/>
          <w:sz w:val="24"/>
          <w:szCs w:val="21"/>
          <w:lang w:eastAsia="zh-CN"/>
        </w:rPr>
        <w:t>概</w:t>
      </w:r>
      <w:r>
        <w:rPr>
          <w:rFonts w:hint="eastAsia" w:ascii="宋体" w:hAnsi="宋体" w:eastAsia="宋体" w:cs="Times New Roman"/>
          <w:b/>
          <w:bCs/>
          <w:snapToGrid/>
          <w:color w:val="auto"/>
          <w:sz w:val="24"/>
          <w:szCs w:val="21"/>
          <w:lang w:eastAsia="zh-CN"/>
        </w:rPr>
        <w:t>况</w:t>
      </w:r>
    </w:p>
    <w:p w14:paraId="7E8E9A26">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1、养护项目名称：</w:t>
      </w:r>
      <w:r>
        <w:rPr>
          <w:rFonts w:hint="eastAsia"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u w:val="single"/>
          <w:lang w:val="en-US" w:eastAsia="zh-CN"/>
        </w:rPr>
        <w:t>碑林区2026年绿化养护市场化购买服务</w:t>
      </w:r>
      <w:r>
        <w:rPr>
          <w:rFonts w:hint="eastAsia" w:ascii="宋体" w:hAnsi="宋体" w:eastAsia="宋体" w:cs="Times New Roman"/>
          <w:snapToGrid/>
          <w:color w:val="auto"/>
          <w:sz w:val="24"/>
          <w:szCs w:val="21"/>
          <w:lang w:eastAsia="zh-CN"/>
        </w:rPr>
        <w:t>。</w:t>
      </w:r>
    </w:p>
    <w:p w14:paraId="6BC1489F">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2、养护范围及内容：</w:t>
      </w:r>
    </w:p>
    <w:p w14:paraId="6F4AD074">
      <w:pPr>
        <w:kinsoku/>
        <w:autoSpaceDE/>
        <w:autoSpaceDN/>
        <w:adjustRightInd/>
        <w:snapToGrid/>
        <w:spacing w:line="560" w:lineRule="exact"/>
        <w:textAlignment w:val="auto"/>
        <w:rPr>
          <w:rFonts w:hint="default" w:ascii="宋体" w:hAnsi="宋体" w:eastAsia="宋体" w:cs="Times New Roman"/>
          <w:snapToGrid/>
          <w:color w:val="auto"/>
          <w:sz w:val="24"/>
          <w:szCs w:val="21"/>
          <w:lang w:val="en-US" w:eastAsia="zh-CN"/>
        </w:rPr>
      </w:pPr>
      <w:r>
        <w:rPr>
          <w:rFonts w:hint="eastAsia" w:ascii="宋体" w:hAnsi="宋体" w:eastAsia="宋体" w:cs="Times New Roman"/>
          <w:snapToGrid/>
          <w:color w:val="auto"/>
          <w:sz w:val="24"/>
          <w:szCs w:val="21"/>
          <w:lang w:eastAsia="zh-CN"/>
        </w:rPr>
        <w:t>2</w:t>
      </w:r>
      <w:r>
        <w:rPr>
          <w:rFonts w:ascii="宋体" w:hAnsi="宋体" w:eastAsia="宋体" w:cs="Times New Roman"/>
          <w:snapToGrid/>
          <w:color w:val="auto"/>
          <w:sz w:val="24"/>
          <w:szCs w:val="21"/>
          <w:lang w:eastAsia="zh-CN"/>
        </w:rPr>
        <w:t>.1</w:t>
      </w:r>
      <w:r>
        <w:rPr>
          <w:rFonts w:hint="eastAsia" w:ascii="宋体" w:hAnsi="宋体" w:eastAsia="宋体" w:cs="Times New Roman"/>
          <w:snapToGrid/>
          <w:color w:val="auto"/>
          <w:sz w:val="24"/>
          <w:szCs w:val="21"/>
          <w:lang w:val="en-US" w:eastAsia="zh-CN"/>
        </w:rPr>
        <w:t>本项目总面积：全区绿化总面积201201.16㎡。具体详见附件2作业标段分区详表。</w:t>
      </w:r>
    </w:p>
    <w:p w14:paraId="022B3A1B">
      <w:pPr>
        <w:kinsoku/>
        <w:autoSpaceDE/>
        <w:autoSpaceDN/>
        <w:adjustRightInd/>
        <w:snapToGrid/>
        <w:spacing w:line="560" w:lineRule="exact"/>
        <w:textAlignment w:val="auto"/>
        <w:rPr>
          <w:rFonts w:hint="default" w:ascii="宋体" w:hAnsi="宋体" w:eastAsia="宋体" w:cs="Times New Roman"/>
          <w:snapToGrid/>
          <w:color w:val="auto"/>
          <w:sz w:val="24"/>
          <w:szCs w:val="21"/>
          <w:lang w:val="en-US" w:eastAsia="zh-CN"/>
        </w:rPr>
      </w:pPr>
      <w:r>
        <w:rPr>
          <w:rFonts w:hint="eastAsia" w:ascii="宋体" w:hAnsi="宋体" w:eastAsia="宋体" w:cs="Times New Roman"/>
          <w:snapToGrid/>
          <w:color w:val="auto"/>
          <w:sz w:val="24"/>
          <w:szCs w:val="21"/>
          <w:lang w:eastAsia="zh-CN"/>
        </w:rPr>
        <w:t>2</w:t>
      </w:r>
      <w:r>
        <w:rPr>
          <w:rFonts w:ascii="宋体" w:hAnsi="宋体" w:eastAsia="宋体" w:cs="Times New Roman"/>
          <w:snapToGrid/>
          <w:color w:val="auto"/>
          <w:sz w:val="24"/>
          <w:szCs w:val="21"/>
          <w:lang w:eastAsia="zh-CN"/>
        </w:rPr>
        <w:t>.2</w:t>
      </w:r>
      <w:r>
        <w:rPr>
          <w:rFonts w:hint="eastAsia" w:ascii="宋体" w:hAnsi="宋体" w:eastAsia="宋体" w:cs="Times New Roman"/>
          <w:snapToGrid/>
          <w:color w:val="auto"/>
          <w:sz w:val="24"/>
          <w:szCs w:val="21"/>
          <w:lang w:eastAsia="zh-CN"/>
        </w:rPr>
        <w:t>区域内的养护量为区域内的林带、广场、绿化带、行道树等绿地的养护（包括浇水、修剪、病虫害防治、施肥、提档降土、苗木补栽、扶正支撑、松土除草、绿地冲洗、保洁、各类垃圾清理、照明设施和园林绿化设施维护修缮、水电使用、绿地抢险及各类突发事件处置等）和各类突发事件处置和上级部门安排的临时性整治等</w:t>
      </w:r>
      <w:r>
        <w:rPr>
          <w:rFonts w:hint="eastAsia" w:ascii="宋体" w:hAnsi="宋体" w:eastAsia="宋体" w:cs="Times New Roman"/>
          <w:snapToGrid/>
          <w:color w:val="auto"/>
          <w:sz w:val="24"/>
          <w:szCs w:val="21"/>
          <w:lang w:val="en-US" w:eastAsia="zh-CN"/>
        </w:rPr>
        <w:t>所有内容</w:t>
      </w:r>
      <w:r>
        <w:rPr>
          <w:rFonts w:hint="eastAsia" w:ascii="宋体" w:hAnsi="宋体" w:eastAsia="宋体" w:cs="Times New Roman"/>
          <w:snapToGrid/>
          <w:color w:val="auto"/>
          <w:sz w:val="24"/>
          <w:szCs w:val="21"/>
          <w:lang w:eastAsia="zh-CN"/>
        </w:rPr>
        <w:t>。</w:t>
      </w:r>
    </w:p>
    <w:p w14:paraId="3E06C8D8">
      <w:pPr>
        <w:numPr>
          <w:ilvl w:val="0"/>
          <w:numId w:val="1"/>
        </w:numPr>
        <w:kinsoku/>
        <w:autoSpaceDE/>
        <w:autoSpaceDN/>
        <w:adjustRightInd/>
        <w:snapToGrid/>
        <w:spacing w:line="560" w:lineRule="exact"/>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养护承包期：</w:t>
      </w:r>
      <w:r>
        <w:rPr>
          <w:rFonts w:hint="eastAsia" w:ascii="宋体" w:hAnsi="宋体" w:eastAsia="宋体" w:cs="Times New Roman"/>
          <w:snapToGrid/>
          <w:color w:val="auto"/>
          <w:sz w:val="24"/>
          <w:szCs w:val="21"/>
          <w:lang w:val="en-US" w:eastAsia="zh-CN"/>
        </w:rPr>
        <w:t>自合同签订之日起一年</w:t>
      </w:r>
      <w:r>
        <w:rPr>
          <w:rFonts w:hint="eastAsia" w:ascii="宋体" w:hAnsi="宋体" w:eastAsia="宋体" w:cs="Times New Roman"/>
          <w:snapToGrid/>
          <w:color w:val="auto"/>
          <w:sz w:val="24"/>
          <w:szCs w:val="21"/>
          <w:lang w:eastAsia="zh-CN"/>
        </w:rPr>
        <w:t>。</w:t>
      </w:r>
    </w:p>
    <w:p w14:paraId="15BC4672">
      <w:pPr>
        <w:numPr>
          <w:ilvl w:val="0"/>
          <w:numId w:val="0"/>
        </w:numPr>
        <w:kinsoku/>
        <w:autoSpaceDE/>
        <w:autoSpaceDN/>
        <w:adjustRightInd/>
        <w:snapToGrid/>
        <w:spacing w:line="560" w:lineRule="exact"/>
        <w:textAlignment w:val="auto"/>
        <w:rPr>
          <w:rFonts w:hint="eastAsia" w:ascii="宋体" w:hAnsi="宋体" w:eastAsia="宋体" w:cs="Times New Roman"/>
          <w:snapToGrid/>
          <w:color w:val="auto"/>
          <w:sz w:val="24"/>
          <w:szCs w:val="21"/>
          <w:lang w:val="en-US" w:eastAsia="zh-CN"/>
        </w:rPr>
      </w:pPr>
      <w:r>
        <w:rPr>
          <w:rFonts w:hint="eastAsia" w:ascii="宋体" w:hAnsi="宋体" w:eastAsia="宋体" w:cs="Times New Roman"/>
          <w:snapToGrid/>
          <w:color w:val="auto"/>
          <w:sz w:val="24"/>
          <w:szCs w:val="21"/>
          <w:lang w:val="en-US" w:eastAsia="zh-CN"/>
        </w:rPr>
        <w:t>4、服务地点：按采购人指定地点。</w:t>
      </w:r>
    </w:p>
    <w:p w14:paraId="4E2D5FEC">
      <w:pPr>
        <w:kinsoku/>
        <w:autoSpaceDE/>
        <w:autoSpaceDN/>
        <w:adjustRightInd/>
        <w:snapToGrid/>
        <w:spacing w:line="560" w:lineRule="exact"/>
        <w:textAlignment w:val="auto"/>
        <w:rPr>
          <w:rFonts w:ascii="宋体" w:hAnsi="宋体" w:eastAsia="宋体" w:cs="Times New Roman"/>
          <w:b/>
          <w:bCs/>
          <w:snapToGrid/>
          <w:color w:val="auto"/>
          <w:sz w:val="24"/>
          <w:szCs w:val="21"/>
          <w:lang w:eastAsia="zh-CN"/>
        </w:rPr>
      </w:pPr>
      <w:r>
        <w:rPr>
          <w:rFonts w:hint="eastAsia" w:ascii="宋体" w:hAnsi="宋体" w:eastAsia="宋体" w:cs="Times New Roman"/>
          <w:b/>
          <w:bCs/>
          <w:snapToGrid/>
          <w:color w:val="auto"/>
          <w:sz w:val="24"/>
          <w:szCs w:val="21"/>
          <w:lang w:eastAsia="zh-CN"/>
        </w:rPr>
        <w:t>第二条 合同价款</w:t>
      </w:r>
    </w:p>
    <w:p w14:paraId="6E3D5FD0">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1、合同价款（承包费）：总价：</w:t>
      </w:r>
      <w:r>
        <w:rPr>
          <w:rFonts w:hint="eastAsia"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lang w:eastAsia="zh-CN"/>
        </w:rPr>
        <w:t>元（¥：</w:t>
      </w:r>
      <w:r>
        <w:rPr>
          <w:rFonts w:hint="eastAsia" w:ascii="宋体" w:hAnsi="宋体" w:eastAsia="宋体" w:cs="Times New Roman"/>
          <w:snapToGrid/>
          <w:color w:val="auto"/>
          <w:sz w:val="24"/>
          <w:szCs w:val="21"/>
          <w:u w:val="single"/>
          <w:lang w:eastAsia="zh-CN"/>
        </w:rPr>
        <w:t xml:space="preserve">      </w:t>
      </w:r>
      <w:r>
        <w:rPr>
          <w:rFonts w:hint="eastAsia" w:ascii="宋体" w:hAnsi="宋体" w:eastAsia="宋体" w:cs="Times New Roman"/>
          <w:snapToGrid/>
          <w:color w:val="auto"/>
          <w:sz w:val="24"/>
          <w:szCs w:val="21"/>
          <w:lang w:eastAsia="zh-CN"/>
        </w:rPr>
        <w:t>） 。</w:t>
      </w:r>
    </w:p>
    <w:p w14:paraId="6A2C9164">
      <w:pPr>
        <w:kinsoku/>
        <w:autoSpaceDE/>
        <w:autoSpaceDN/>
        <w:adjustRightInd/>
        <w:snapToGrid/>
        <w:spacing w:line="560" w:lineRule="exact"/>
        <w:textAlignment w:val="auto"/>
        <w:rPr>
          <w:rFonts w:ascii="宋体" w:hAnsi="宋体" w:eastAsia="宋体" w:cs="Times New Roman"/>
          <w:b/>
          <w:snapToGrid/>
          <w:color w:val="auto"/>
          <w:sz w:val="24"/>
          <w:szCs w:val="21"/>
          <w:lang w:eastAsia="zh-CN"/>
        </w:rPr>
      </w:pPr>
      <w:r>
        <w:rPr>
          <w:rFonts w:hint="eastAsia" w:ascii="宋体" w:hAnsi="宋体" w:eastAsia="宋体" w:cs="Times New Roman"/>
          <w:snapToGrid/>
          <w:color w:val="auto"/>
          <w:sz w:val="24"/>
          <w:szCs w:val="21"/>
          <w:lang w:eastAsia="zh-CN"/>
        </w:rPr>
        <w:t>2、合同价款包括：养护工作所发生的一切费用，包含养护物资费、水电费、设备设施费、人员费、管理费、验收费、招标代理服务费、利润和税金等养护所产生的全部费用；</w:t>
      </w:r>
    </w:p>
    <w:p w14:paraId="2414589D">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3、合同</w:t>
      </w:r>
      <w:r>
        <w:rPr>
          <w:rFonts w:hint="eastAsia" w:ascii="宋体" w:hAnsi="宋体" w:eastAsia="宋体" w:cs="Times New Roman"/>
          <w:snapToGrid/>
          <w:color w:val="auto"/>
          <w:sz w:val="24"/>
          <w:szCs w:val="21"/>
          <w:lang w:val="en-US" w:eastAsia="zh-CN"/>
        </w:rPr>
        <w:t>采用全包干形式，即管理任务包干、经费包干</w:t>
      </w:r>
      <w:r>
        <w:rPr>
          <w:rFonts w:hint="eastAsia" w:ascii="宋体" w:hAnsi="宋体" w:eastAsia="宋体" w:cs="Times New Roman"/>
          <w:snapToGrid/>
          <w:color w:val="auto"/>
          <w:sz w:val="24"/>
          <w:szCs w:val="21"/>
          <w:lang w:eastAsia="zh-CN"/>
        </w:rPr>
        <w:t>。</w:t>
      </w:r>
    </w:p>
    <w:p w14:paraId="0776EA94">
      <w:pPr>
        <w:kinsoku/>
        <w:autoSpaceDE/>
        <w:autoSpaceDN/>
        <w:adjustRightInd/>
        <w:snapToGrid/>
        <w:spacing w:line="560" w:lineRule="exact"/>
        <w:textAlignment w:val="auto"/>
        <w:rPr>
          <w:rFonts w:ascii="宋体" w:hAnsi="宋体" w:eastAsia="宋体" w:cs="Times New Roman"/>
          <w:b/>
          <w:snapToGrid/>
          <w:color w:val="auto"/>
          <w:sz w:val="24"/>
          <w:szCs w:val="21"/>
          <w:lang w:eastAsia="zh-CN"/>
        </w:rPr>
      </w:pPr>
      <w:r>
        <w:rPr>
          <w:rFonts w:hint="eastAsia" w:ascii="宋体" w:hAnsi="宋体" w:eastAsia="宋体" w:cs="Times New Roman"/>
          <w:b/>
          <w:snapToGrid/>
          <w:color w:val="auto"/>
          <w:sz w:val="24"/>
          <w:szCs w:val="21"/>
          <w:lang w:eastAsia="zh-CN"/>
        </w:rPr>
        <w:t>第三条 款项支付</w:t>
      </w:r>
    </w:p>
    <w:p w14:paraId="5C922171">
      <w:pPr>
        <w:kinsoku/>
        <w:autoSpaceDE/>
        <w:autoSpaceDN/>
        <w:adjustRightInd/>
        <w:snapToGrid/>
        <w:spacing w:line="560" w:lineRule="exact"/>
        <w:ind w:firstLine="480" w:firstLineChars="200"/>
        <w:textAlignment w:val="auto"/>
        <w:rPr>
          <w:rFonts w:hint="eastAsia" w:ascii="宋体" w:hAnsi="宋体" w:eastAsia="宋体" w:cs="Times New Roman"/>
          <w:snapToGrid/>
          <w:color w:val="auto"/>
          <w:sz w:val="24"/>
          <w:szCs w:val="21"/>
          <w:lang w:val="en-US" w:eastAsia="zh-CN"/>
        </w:rPr>
      </w:pPr>
      <w:r>
        <w:rPr>
          <w:rFonts w:hint="eastAsia" w:ascii="宋体" w:hAnsi="宋体" w:eastAsia="宋体" w:cs="Times New Roman"/>
          <w:snapToGrid/>
          <w:color w:val="auto"/>
          <w:sz w:val="24"/>
          <w:szCs w:val="21"/>
          <w:lang w:val="en-US" w:eastAsia="zh-CN"/>
        </w:rPr>
        <w:t>碑林区城市管理和综合执法局每月对养护公司进行考核，每月底根据考核结果确定最终考核成绩和当月费用。费用由甲方负责结算，按月支付，付款前乙方向甲方开具全额发票。</w:t>
      </w:r>
    </w:p>
    <w:p w14:paraId="63AE8641">
      <w:pPr>
        <w:kinsoku/>
        <w:autoSpaceDE/>
        <w:autoSpaceDN/>
        <w:adjustRightInd/>
        <w:snapToGrid/>
        <w:spacing w:line="560" w:lineRule="exact"/>
        <w:textAlignment w:val="auto"/>
        <w:rPr>
          <w:rFonts w:hint="eastAsia" w:ascii="宋体" w:hAnsi="宋体" w:eastAsia="宋体" w:cs="Times New Roman"/>
          <w:b/>
          <w:snapToGrid/>
          <w:color w:val="auto"/>
          <w:sz w:val="24"/>
          <w:szCs w:val="21"/>
          <w:lang w:eastAsia="zh-CN"/>
        </w:rPr>
      </w:pPr>
      <w:r>
        <w:rPr>
          <w:rFonts w:hint="eastAsia" w:ascii="宋体" w:hAnsi="宋体" w:eastAsia="宋体" w:cs="Times New Roman"/>
          <w:b/>
          <w:snapToGrid/>
          <w:color w:val="auto"/>
          <w:sz w:val="24"/>
          <w:szCs w:val="21"/>
          <w:lang w:eastAsia="zh-CN"/>
        </w:rPr>
        <w:t>第四条</w:t>
      </w:r>
      <w:r>
        <w:rPr>
          <w:rFonts w:hint="eastAsia" w:ascii="宋体" w:hAnsi="宋体" w:eastAsia="宋体" w:cs="Times New Roman"/>
          <w:b/>
          <w:snapToGrid/>
          <w:color w:val="auto"/>
          <w:sz w:val="24"/>
          <w:szCs w:val="21"/>
          <w:lang w:val="en-US" w:eastAsia="zh-CN"/>
        </w:rPr>
        <w:t xml:space="preserve"> </w:t>
      </w:r>
      <w:r>
        <w:rPr>
          <w:rFonts w:hint="eastAsia" w:ascii="宋体" w:hAnsi="宋体" w:eastAsia="宋体" w:cs="Times New Roman"/>
          <w:b/>
          <w:snapToGrid/>
          <w:color w:val="auto"/>
          <w:sz w:val="24"/>
          <w:szCs w:val="21"/>
          <w:lang w:eastAsia="zh-CN"/>
        </w:rPr>
        <w:t>质量验收标准或规范</w:t>
      </w:r>
    </w:p>
    <w:p w14:paraId="3D9E2635">
      <w:pPr>
        <w:kinsoku/>
        <w:autoSpaceDE/>
        <w:autoSpaceDN/>
        <w:adjustRightInd/>
        <w:snapToGrid/>
        <w:spacing w:line="560" w:lineRule="exact"/>
        <w:ind w:firstLine="480" w:firstLineChars="200"/>
        <w:textAlignment w:val="auto"/>
        <w:rPr>
          <w:rFonts w:hint="eastAsia" w:ascii="宋体" w:hAnsi="宋体" w:eastAsia="宋体" w:cs="Times New Roman"/>
          <w:b w:val="0"/>
          <w:bCs/>
          <w:snapToGrid/>
          <w:color w:val="auto"/>
          <w:sz w:val="24"/>
          <w:szCs w:val="21"/>
          <w:lang w:eastAsia="zh-CN"/>
        </w:rPr>
      </w:pPr>
      <w:r>
        <w:rPr>
          <w:rFonts w:hint="eastAsia" w:ascii="宋体" w:hAnsi="宋体" w:eastAsia="宋体" w:cs="Times New Roman"/>
          <w:b w:val="0"/>
          <w:bCs/>
          <w:snapToGrid/>
          <w:color w:val="auto"/>
          <w:sz w:val="24"/>
          <w:szCs w:val="21"/>
          <w:lang w:eastAsia="zh-CN"/>
        </w:rPr>
        <w:t>详见附件</w:t>
      </w:r>
      <w:r>
        <w:rPr>
          <w:rFonts w:hint="eastAsia" w:ascii="宋体" w:hAnsi="宋体" w:eastAsia="宋体" w:cs="Times New Roman"/>
          <w:b w:val="0"/>
          <w:bCs/>
          <w:snapToGrid/>
          <w:color w:val="auto"/>
          <w:sz w:val="24"/>
          <w:szCs w:val="21"/>
          <w:lang w:val="en-US" w:eastAsia="zh-CN"/>
        </w:rPr>
        <w:t>1：</w:t>
      </w:r>
      <w:r>
        <w:rPr>
          <w:rFonts w:hint="eastAsia" w:ascii="宋体" w:hAnsi="宋体" w:eastAsia="宋体" w:cs="Times New Roman"/>
          <w:b w:val="0"/>
          <w:bCs/>
          <w:snapToGrid/>
          <w:color w:val="auto"/>
          <w:sz w:val="24"/>
          <w:szCs w:val="21"/>
          <w:lang w:eastAsia="zh-CN"/>
        </w:rPr>
        <w:t>碑林区绿化养护作业标准</w:t>
      </w:r>
    </w:p>
    <w:p w14:paraId="2B889EF8">
      <w:pPr>
        <w:kinsoku/>
        <w:autoSpaceDE/>
        <w:autoSpaceDN/>
        <w:adjustRightInd/>
        <w:snapToGrid/>
        <w:spacing w:line="560" w:lineRule="exact"/>
        <w:textAlignment w:val="auto"/>
        <w:rPr>
          <w:rFonts w:ascii="宋体" w:hAnsi="宋体" w:eastAsia="宋体" w:cs="Times New Roman"/>
          <w:b/>
          <w:snapToGrid/>
          <w:color w:val="auto"/>
          <w:sz w:val="24"/>
          <w:szCs w:val="21"/>
          <w:lang w:eastAsia="zh-CN"/>
        </w:rPr>
      </w:pPr>
      <w:r>
        <w:rPr>
          <w:rFonts w:hint="eastAsia" w:ascii="宋体" w:hAnsi="宋体" w:eastAsia="宋体" w:cs="Times New Roman"/>
          <w:b/>
          <w:snapToGrid/>
          <w:color w:val="auto"/>
          <w:sz w:val="24"/>
          <w:szCs w:val="21"/>
          <w:lang w:eastAsia="zh-CN"/>
        </w:rPr>
        <w:t>第</w:t>
      </w:r>
      <w:r>
        <w:rPr>
          <w:rFonts w:hint="eastAsia" w:ascii="宋体" w:hAnsi="宋体" w:eastAsia="宋体" w:cs="Times New Roman"/>
          <w:b/>
          <w:snapToGrid/>
          <w:color w:val="auto"/>
          <w:sz w:val="24"/>
          <w:szCs w:val="21"/>
          <w:lang w:val="en-US" w:eastAsia="zh-CN"/>
        </w:rPr>
        <w:t>五</w:t>
      </w:r>
      <w:r>
        <w:rPr>
          <w:rFonts w:hint="eastAsia" w:ascii="宋体" w:hAnsi="宋体" w:eastAsia="宋体" w:cs="Times New Roman"/>
          <w:b/>
          <w:snapToGrid/>
          <w:color w:val="auto"/>
          <w:sz w:val="24"/>
          <w:szCs w:val="21"/>
          <w:lang w:eastAsia="zh-CN"/>
        </w:rPr>
        <w:t>条 甲方责任及义务</w:t>
      </w:r>
    </w:p>
    <w:p w14:paraId="60D06ADE">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1、为乙方提供（1）考核办法（2）碑林区绿化养护作业标准（3）作业标段分区详表</w:t>
      </w:r>
    </w:p>
    <w:p w14:paraId="4154C0C4">
      <w:pPr>
        <w:kinsoku/>
        <w:autoSpaceDE/>
        <w:autoSpaceDN/>
        <w:adjustRightInd/>
        <w:snapToGrid/>
        <w:spacing w:line="560" w:lineRule="exact"/>
        <w:ind w:left="-136" w:leftChars="-65"/>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 xml:space="preserve"> 2、日常巡查，对不合格问题下达整改要求，如未及时并按质量要求整改者下发通报单并在考评中进行扣分。</w:t>
      </w:r>
    </w:p>
    <w:p w14:paraId="503B3E97">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val="en-US" w:eastAsia="zh-CN"/>
        </w:rPr>
        <w:t>3</w:t>
      </w:r>
      <w:r>
        <w:rPr>
          <w:rFonts w:hint="eastAsia" w:ascii="宋体" w:hAnsi="宋体" w:eastAsia="宋体" w:cs="Times New Roman"/>
          <w:snapToGrid/>
          <w:color w:val="auto"/>
          <w:sz w:val="24"/>
          <w:szCs w:val="21"/>
          <w:lang w:eastAsia="zh-CN"/>
        </w:rPr>
        <w:t>、按期支付养护承包费用给乙方。</w:t>
      </w:r>
    </w:p>
    <w:p w14:paraId="5F07F582">
      <w:pPr>
        <w:kinsoku/>
        <w:autoSpaceDE/>
        <w:autoSpaceDN/>
        <w:adjustRightInd/>
        <w:snapToGrid/>
        <w:spacing w:line="560" w:lineRule="exact"/>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 xml:space="preserve"> </w:t>
      </w:r>
      <w:r>
        <w:rPr>
          <w:rFonts w:hint="eastAsia" w:ascii="宋体" w:hAnsi="宋体" w:eastAsia="宋体" w:cs="Times New Roman"/>
          <w:b/>
          <w:snapToGrid/>
          <w:color w:val="auto"/>
          <w:sz w:val="24"/>
          <w:szCs w:val="21"/>
          <w:lang w:eastAsia="zh-CN"/>
        </w:rPr>
        <w:t>第</w:t>
      </w:r>
      <w:r>
        <w:rPr>
          <w:rFonts w:hint="eastAsia" w:ascii="宋体" w:hAnsi="宋体" w:eastAsia="宋体" w:cs="Times New Roman"/>
          <w:b/>
          <w:snapToGrid/>
          <w:color w:val="auto"/>
          <w:sz w:val="24"/>
          <w:szCs w:val="21"/>
          <w:lang w:val="en-US" w:eastAsia="zh-CN"/>
        </w:rPr>
        <w:t>六</w:t>
      </w:r>
      <w:r>
        <w:rPr>
          <w:rFonts w:hint="eastAsia" w:ascii="宋体" w:hAnsi="宋体" w:eastAsia="宋体" w:cs="Times New Roman"/>
          <w:b/>
          <w:snapToGrid/>
          <w:color w:val="auto"/>
          <w:sz w:val="24"/>
          <w:szCs w:val="21"/>
          <w:lang w:eastAsia="zh-CN"/>
        </w:rPr>
        <w:t>条 乙方责任及义务</w:t>
      </w:r>
    </w:p>
    <w:p w14:paraId="5CB80D00">
      <w:pPr>
        <w:kinsoku/>
        <w:autoSpaceDE/>
        <w:autoSpaceDN/>
        <w:adjustRightInd w:val="0"/>
        <w:snapToGrid w:val="0"/>
        <w:spacing w:line="560" w:lineRule="exact"/>
        <w:ind w:left="-540" w:leftChars="-257" w:firstLine="540" w:firstLineChars="225"/>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1、未经甲方同意，乙方单位不得擅自变更本养护在投标文件中认定的养护范围。</w:t>
      </w:r>
    </w:p>
    <w:p w14:paraId="790ACA60">
      <w:pPr>
        <w:kinsoku/>
        <w:autoSpaceDE/>
        <w:autoSpaceDN/>
        <w:adjustRightInd w:val="0"/>
        <w:snapToGrid w:val="0"/>
        <w:spacing w:line="560" w:lineRule="exact"/>
        <w:ind w:left="-540" w:leftChars="-257" w:firstLine="540" w:firstLineChars="225"/>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2、如需更换项目经理，必须报甲方审核同意后，再行更换。</w:t>
      </w:r>
    </w:p>
    <w:p w14:paraId="023649FD">
      <w:pPr>
        <w:kinsoku/>
        <w:autoSpaceDE/>
        <w:autoSpaceDN/>
        <w:adjustRightInd w:val="0"/>
        <w:snapToGrid w:val="0"/>
        <w:spacing w:line="560" w:lineRule="exact"/>
        <w:ind w:left="-540" w:leftChars="-257" w:firstLine="540" w:firstLineChars="225"/>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3、乙方必须自行养护，不得转让、拆分。</w:t>
      </w:r>
    </w:p>
    <w:p w14:paraId="0454DB17">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4、严格按照相关标准每周、每月拟订养护方案，经甲方审核批准，予以实施。为了确保养护质量，乙方应组织一支技术骨干队伍，建立严格的质量管理体系，规范操作，保持绿化效果良好。</w:t>
      </w:r>
    </w:p>
    <w:p w14:paraId="3C3D40EE">
      <w:pPr>
        <w:kinsoku/>
        <w:autoSpaceDE/>
        <w:autoSpaceDN/>
        <w:adjustRightInd w:val="0"/>
        <w:snapToGrid w:val="0"/>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5、根据整改通知书的要求，及时完成整改项目。</w:t>
      </w:r>
    </w:p>
    <w:p w14:paraId="28C97437">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6、负责对养护工人进行安全教育，岗前培训，提供安全作业的一切措施，并承担相应的安全责任及费用。</w:t>
      </w:r>
    </w:p>
    <w:p w14:paraId="1C039440">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7、及时更换因养护不善死亡的苗木；及时恢复临时施工、交通事故等损坏的绿地；及时整改各类投诉问题。</w:t>
      </w:r>
    </w:p>
    <w:p w14:paraId="00AEF327">
      <w:pPr>
        <w:kinsoku/>
        <w:autoSpaceDE/>
        <w:autoSpaceDN/>
        <w:adjustRightInd/>
        <w:snapToGrid/>
        <w:spacing w:line="560" w:lineRule="exact"/>
        <w:ind w:left="-540" w:leftChars="-257" w:firstLine="540" w:firstLineChars="225"/>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8、</w:t>
      </w:r>
      <w:r>
        <w:rPr>
          <w:rFonts w:hint="eastAsia" w:ascii="宋体" w:hAnsi="宋体" w:eastAsia="宋体" w:cs="Times New Roman"/>
          <w:snapToGrid/>
          <w:color w:val="auto"/>
          <w:sz w:val="24"/>
          <w:szCs w:val="21"/>
          <w:lang w:val="en-US" w:eastAsia="zh-CN"/>
        </w:rPr>
        <w:t>按照管理要求和标准组织管理工作，并接受碑林区城市管理和综合执法局的指导、监督和检查验收，</w:t>
      </w:r>
      <w:r>
        <w:rPr>
          <w:rFonts w:hint="eastAsia" w:ascii="宋体" w:hAnsi="宋体" w:eastAsia="宋体" w:cs="Times New Roman"/>
          <w:snapToGrid/>
          <w:color w:val="auto"/>
          <w:sz w:val="24"/>
          <w:szCs w:val="21"/>
          <w:lang w:eastAsia="zh-CN"/>
        </w:rPr>
        <w:t>服从甲方制定的养护管理标准和考核评分办法相关规定。</w:t>
      </w:r>
    </w:p>
    <w:p w14:paraId="2F1B0BEB">
      <w:pPr>
        <w:kinsoku/>
        <w:autoSpaceDE/>
        <w:autoSpaceDN/>
        <w:adjustRightInd/>
        <w:snapToGrid/>
        <w:spacing w:line="560" w:lineRule="exact"/>
        <w:ind w:left="-540" w:leftChars="-257" w:firstLine="540" w:firstLineChars="225"/>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val="en-US" w:eastAsia="zh-CN"/>
        </w:rPr>
        <w:t>9、</w:t>
      </w:r>
      <w:r>
        <w:rPr>
          <w:rFonts w:hint="eastAsia" w:ascii="宋体" w:hAnsi="宋体" w:eastAsia="宋体" w:cs="Times New Roman"/>
          <w:snapToGrid/>
          <w:color w:val="auto"/>
          <w:sz w:val="24"/>
          <w:szCs w:val="21"/>
          <w:lang w:eastAsia="zh-CN"/>
        </w:rPr>
        <w:t>备有物资仓库，生产物资及养护设备需满足日常养护作业需求并满足突发事件应急需求储备。</w:t>
      </w:r>
    </w:p>
    <w:p w14:paraId="0AADDA35">
      <w:pPr>
        <w:kinsoku/>
        <w:autoSpaceDE/>
        <w:autoSpaceDN/>
        <w:adjustRightInd w:val="0"/>
        <w:snapToGrid w:val="0"/>
        <w:spacing w:line="560" w:lineRule="exact"/>
        <w:ind w:left="964" w:leftChars="1" w:hanging="962" w:hangingChars="401"/>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val="en-US" w:eastAsia="zh-CN"/>
        </w:rPr>
        <w:t>10</w:t>
      </w:r>
      <w:r>
        <w:rPr>
          <w:rFonts w:hint="eastAsia" w:ascii="宋体" w:hAnsi="宋体" w:eastAsia="宋体" w:cs="Times New Roman"/>
          <w:snapToGrid/>
          <w:color w:val="auto"/>
          <w:sz w:val="24"/>
          <w:szCs w:val="21"/>
          <w:lang w:eastAsia="zh-CN"/>
        </w:rPr>
        <w:t>、物资仓库需满足有关规定和标准，杜绝安全隐患。</w:t>
      </w:r>
    </w:p>
    <w:p w14:paraId="2BCD0362">
      <w:pPr>
        <w:kinsoku/>
        <w:autoSpaceDE/>
        <w:autoSpaceDN/>
        <w:adjustRightInd/>
        <w:snapToGrid/>
        <w:spacing w:line="560" w:lineRule="exact"/>
        <w:textAlignment w:val="auto"/>
        <w:rPr>
          <w:rFonts w:hint="eastAsia" w:ascii="宋体" w:hAnsi="宋体" w:eastAsia="宋体" w:cs="Times New Roman"/>
          <w:snapToGrid/>
          <w:color w:val="auto"/>
          <w:sz w:val="24"/>
          <w:szCs w:val="21"/>
          <w:lang w:val="en-US" w:eastAsia="zh-CN"/>
        </w:rPr>
      </w:pPr>
      <w:r>
        <w:rPr>
          <w:rFonts w:hint="eastAsia" w:ascii="宋体" w:hAnsi="宋体" w:eastAsia="宋体" w:cs="Times New Roman"/>
          <w:snapToGrid/>
          <w:color w:val="auto"/>
          <w:sz w:val="24"/>
          <w:szCs w:val="21"/>
          <w:lang w:val="en-US" w:eastAsia="zh-CN"/>
        </w:rPr>
        <w:t>11、所有聘用员工的实际年龄不得超过60岁，按照3000㎡/人管养标准进行人员配备。另配备不少于8人的应急抢险队伍进行应急抢险工作。</w:t>
      </w:r>
    </w:p>
    <w:p w14:paraId="2270D989">
      <w:pPr>
        <w:kinsoku/>
        <w:autoSpaceDE/>
        <w:autoSpaceDN/>
        <w:adjustRightInd/>
        <w:snapToGrid/>
        <w:spacing w:line="560" w:lineRule="exact"/>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val="en-US" w:eastAsia="zh-CN"/>
        </w:rPr>
        <w:t>12、配备不少于2辆货车，用作垃圾及其它物品运输；另配备2辆8吨或以上洒水车，配备1辆高架车，配备2辆5吨或以上打药车，用于浇水、打药、修剪、应急抢险；配备6台绿篱机、5台打草机、3台手推式割草机、6台绿篱修剪机、1把高枝油锯、3把油锯；枝剪、大平剪、手锯、高枝剪等工具要求工作人员人手一把。</w:t>
      </w:r>
    </w:p>
    <w:p w14:paraId="6BE84E66">
      <w:pPr>
        <w:kinsoku/>
        <w:autoSpaceDE/>
        <w:autoSpaceDN/>
        <w:adjustRightInd/>
        <w:snapToGrid/>
        <w:spacing w:line="560" w:lineRule="exact"/>
        <w:textAlignment w:val="auto"/>
        <w:rPr>
          <w:rFonts w:hint="eastAsia" w:ascii="宋体" w:hAnsi="宋体" w:eastAsia="宋体" w:cs="Times New Roman"/>
          <w:b/>
          <w:snapToGrid/>
          <w:color w:val="auto"/>
          <w:sz w:val="24"/>
          <w:szCs w:val="21"/>
          <w:lang w:val="en-US" w:eastAsia="zh-CN"/>
        </w:rPr>
      </w:pPr>
      <w:r>
        <w:rPr>
          <w:rFonts w:hint="eastAsia" w:ascii="宋体" w:hAnsi="宋体" w:eastAsia="宋体" w:cs="Times New Roman"/>
          <w:b/>
          <w:snapToGrid/>
          <w:color w:val="auto"/>
          <w:sz w:val="24"/>
          <w:szCs w:val="21"/>
          <w:lang w:eastAsia="zh-CN"/>
        </w:rPr>
        <w:t>第</w:t>
      </w:r>
      <w:r>
        <w:rPr>
          <w:rFonts w:hint="eastAsia" w:ascii="宋体" w:hAnsi="宋体" w:eastAsia="宋体" w:cs="Times New Roman"/>
          <w:b/>
          <w:snapToGrid/>
          <w:color w:val="auto"/>
          <w:sz w:val="24"/>
          <w:szCs w:val="21"/>
          <w:lang w:val="en-US" w:eastAsia="zh-CN"/>
        </w:rPr>
        <w:t>七</w:t>
      </w:r>
      <w:r>
        <w:rPr>
          <w:rFonts w:hint="eastAsia" w:ascii="宋体" w:hAnsi="宋体" w:eastAsia="宋体" w:cs="Times New Roman"/>
          <w:b/>
          <w:snapToGrid/>
          <w:color w:val="auto"/>
          <w:sz w:val="24"/>
          <w:szCs w:val="21"/>
          <w:lang w:eastAsia="zh-CN"/>
        </w:rPr>
        <w:t xml:space="preserve">条  </w:t>
      </w:r>
      <w:r>
        <w:rPr>
          <w:rFonts w:hint="eastAsia" w:ascii="宋体" w:hAnsi="宋体" w:eastAsia="宋体" w:cs="Times New Roman"/>
          <w:b/>
          <w:snapToGrid/>
          <w:color w:val="auto"/>
          <w:sz w:val="24"/>
          <w:szCs w:val="21"/>
          <w:lang w:val="en-US" w:eastAsia="zh-CN"/>
        </w:rPr>
        <w:t>服务要求</w:t>
      </w:r>
    </w:p>
    <w:p w14:paraId="5E7C6F5C">
      <w:pPr>
        <w:kinsoku/>
        <w:autoSpaceDE/>
        <w:autoSpaceDN/>
        <w:adjustRightInd w:val="0"/>
        <w:snapToGrid w:val="0"/>
        <w:spacing w:line="560" w:lineRule="exact"/>
        <w:ind w:left="0" w:leftChars="0" w:firstLine="600" w:firstLineChars="250"/>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碑林区城市管理和综合执法局、各街道办事处、市、区督查、数字城管平台、新闻媒体（包括报社、市区电视台）曝光及社区居民、群众举报、市区领导交办事项，查实有责的，按考核评分标准纳入考核内容给予扣分。</w:t>
      </w:r>
    </w:p>
    <w:p w14:paraId="4344017C">
      <w:pPr>
        <w:kinsoku/>
        <w:autoSpaceDE/>
        <w:autoSpaceDN/>
        <w:adjustRightInd w:val="0"/>
        <w:snapToGrid w:val="0"/>
        <w:spacing w:line="560" w:lineRule="exact"/>
        <w:ind w:left="359" w:leftChars="1" w:hanging="357" w:hangingChars="149"/>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（一）日常检查考核办法</w:t>
      </w:r>
    </w:p>
    <w:p w14:paraId="292583BE">
      <w:pPr>
        <w:kinsoku/>
        <w:autoSpaceDE/>
        <w:autoSpaceDN/>
        <w:adjustRightInd w:val="0"/>
        <w:snapToGrid w:val="0"/>
        <w:spacing w:line="560" w:lineRule="exact"/>
        <w:ind w:left="0" w:leftChars="0" w:firstLine="600" w:firstLineChars="250"/>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日常检查考核工作由碑林区城市管理和综合执法局根据日常管养等工作需要，联合各街办对中标人的日常管养工作，包括保洁、浇水、施肥、除杂草、树木修剪、死树伐除、防治病虫害、除四害、应急抢险等管养工作进行检查，每周进行1次明检，1次暗检，并按照《绿化养护管理检查表》（详见附件3）进行打分。现场检查发现存在的问题，予以整改通知，并将有关情况上报。若未能按时按质按量完成整改，则按规定扣除相应分值，并以书面通知直接发到公司法人。日常检查考核评分结果将按合同规定比例纳入月度检查考核总评。</w:t>
      </w:r>
    </w:p>
    <w:p w14:paraId="6BCB5A69">
      <w:pPr>
        <w:kinsoku/>
        <w:autoSpaceDE/>
        <w:autoSpaceDN/>
        <w:adjustRightInd w:val="0"/>
        <w:snapToGrid w:val="0"/>
        <w:spacing w:line="560" w:lineRule="exact"/>
        <w:ind w:left="359" w:leftChars="1" w:hanging="357" w:hangingChars="149"/>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（二）月度检查考核办法</w:t>
      </w:r>
    </w:p>
    <w:p w14:paraId="0EBC14EF">
      <w:pPr>
        <w:kinsoku/>
        <w:autoSpaceDE/>
        <w:autoSpaceDN/>
        <w:adjustRightInd w:val="0"/>
        <w:snapToGrid w:val="0"/>
        <w:spacing w:line="560" w:lineRule="exact"/>
        <w:ind w:left="0" w:leftChars="0" w:firstLine="600" w:firstLineChars="250"/>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月度检查考核工作由碑林区城市管理和综合执法局负责组织实施，联合各街办对绿化带、绿地小广场、花坛的日常管养工作及月度管养效果进行检查考核，月检内容由两部分组成：一是日常检查结果的平均值（占比70%），二是当次月检得分（占比30%）。当次月检内容包括：一是中标人要按照每月的工作计划内容及进度，正确记录日常养护作业记录，月检当日由月度检查小组成员查阅相关记录资料是否齐全，并按规定评分（10分）；二是对检查绿化带、绿地小广场、花坛进行巡查抽查及专项检查，尤其是对日查时发现的养护问题进行重点检查，并做好检查记录及评分，并现场拍照留证（10分）；三是月检结束后当场总结月检情况，告知中标人在月检时发现的问题，要求中标人签名确认及限期内完成相关问题整改，并检查整改结果（10分）。</w:t>
      </w:r>
    </w:p>
    <w:p w14:paraId="10E7850C">
      <w:pPr>
        <w:kinsoku/>
        <w:autoSpaceDE/>
        <w:autoSpaceDN/>
        <w:adjustRightInd w:val="0"/>
        <w:snapToGrid w:val="0"/>
        <w:spacing w:line="560" w:lineRule="exact"/>
        <w:ind w:left="359" w:leftChars="1" w:hanging="357" w:hangingChars="149"/>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（三）奖惩办法</w:t>
      </w:r>
    </w:p>
    <w:p w14:paraId="0AF0B93B">
      <w:pPr>
        <w:kinsoku/>
        <w:autoSpaceDE/>
        <w:autoSpaceDN/>
        <w:adjustRightInd w:val="0"/>
        <w:snapToGrid w:val="0"/>
        <w:spacing w:line="560" w:lineRule="exact"/>
        <w:ind w:left="0" w:leftChars="0" w:firstLine="360" w:firstLineChars="150"/>
        <w:textAlignment w:val="auto"/>
        <w:rPr>
          <w:rFonts w:ascii="宋体" w:hAnsi="宋体" w:eastAsia="宋体" w:cs="Times New Roman"/>
          <w:b/>
          <w:bCs/>
          <w:snapToGrid/>
          <w:color w:val="auto"/>
          <w:sz w:val="24"/>
          <w:szCs w:val="21"/>
          <w:lang w:eastAsia="zh-CN"/>
        </w:rPr>
      </w:pPr>
      <w:r>
        <w:rPr>
          <w:rFonts w:hint="eastAsia" w:ascii="宋体" w:hAnsi="宋体" w:eastAsia="宋体" w:cs="Times New Roman"/>
          <w:snapToGrid/>
          <w:color w:val="auto"/>
          <w:sz w:val="24"/>
          <w:szCs w:val="21"/>
          <w:lang w:eastAsia="zh-CN"/>
        </w:rPr>
        <w:t>根据月度考核成绩，扣除相应月度养护经费作为质量奖惩金，月度考核90分以上（含90分）为优秀，不处罚，全额拨付养护经费；月度考核90（不含90分）—85分（含85分）的为合格，每1分扣养护经费500元（以100分为基数计算），即处罚金额=（100—考核得分）×500 ；月度考核85分以下（不含85分）的为不合格，除按上述方式每分扣养护经费500元外，对相关公司进行一次黄牌警告，勒令整改；连续两个月考核为不合格等次的，除按上述方式扣除养护经费外，我局有权再次扣除当月养护经费的10%。对一年内连续2次月考核在70分以下，或累计有3次月考核在75分以下的，我局有权与绿化养护公司解除合同。</w:t>
      </w:r>
    </w:p>
    <w:p w14:paraId="734B7B4C">
      <w:pPr>
        <w:kinsoku/>
        <w:autoSpaceDE/>
        <w:autoSpaceDN/>
        <w:adjustRightInd/>
        <w:snapToGrid/>
        <w:spacing w:line="560" w:lineRule="exact"/>
        <w:textAlignment w:val="auto"/>
        <w:rPr>
          <w:rFonts w:ascii="宋体" w:hAnsi="宋体" w:eastAsia="宋体" w:cs="Times New Roman"/>
          <w:b/>
          <w:snapToGrid/>
          <w:color w:val="auto"/>
          <w:sz w:val="24"/>
          <w:szCs w:val="21"/>
          <w:lang w:eastAsia="zh-CN"/>
        </w:rPr>
      </w:pPr>
      <w:r>
        <w:rPr>
          <w:rFonts w:hint="eastAsia" w:ascii="宋体" w:hAnsi="宋体" w:eastAsia="宋体" w:cs="Times New Roman"/>
          <w:b/>
          <w:snapToGrid/>
          <w:color w:val="auto"/>
          <w:sz w:val="24"/>
          <w:szCs w:val="21"/>
          <w:lang w:eastAsia="zh-CN"/>
        </w:rPr>
        <w:t>第八条  违约责任</w:t>
      </w:r>
    </w:p>
    <w:p w14:paraId="162B39F7">
      <w:pPr>
        <w:kinsoku/>
        <w:autoSpaceDE/>
        <w:autoSpaceDN/>
        <w:adjustRightInd/>
        <w:snapToGrid/>
        <w:spacing w:line="560" w:lineRule="exact"/>
        <w:ind w:firstLine="480" w:firstLineChars="200"/>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1、甲乙双方必须遵守本合同并执行合同中的各项规定，保证本合同的正常履行。</w:t>
      </w:r>
    </w:p>
    <w:p w14:paraId="69FB67E1">
      <w:pPr>
        <w:kinsoku/>
        <w:autoSpaceDE/>
        <w:autoSpaceDN/>
        <w:adjustRightInd/>
        <w:snapToGrid/>
        <w:spacing w:line="560" w:lineRule="exact"/>
        <w:ind w:firstLine="480" w:firstLineChars="200"/>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C4DFFA7">
      <w:pPr>
        <w:kinsoku/>
        <w:autoSpaceDE/>
        <w:autoSpaceDN/>
        <w:adjustRightInd/>
        <w:snapToGrid/>
        <w:spacing w:line="560" w:lineRule="exact"/>
        <w:textAlignment w:val="auto"/>
        <w:rPr>
          <w:rFonts w:ascii="宋体" w:hAnsi="宋体" w:eastAsia="宋体" w:cs="Times New Roman"/>
          <w:b/>
          <w:snapToGrid/>
          <w:color w:val="auto"/>
          <w:sz w:val="24"/>
          <w:szCs w:val="21"/>
          <w:lang w:eastAsia="zh-CN"/>
        </w:rPr>
      </w:pPr>
      <w:r>
        <w:rPr>
          <w:rFonts w:hint="eastAsia" w:ascii="宋体" w:hAnsi="宋体" w:eastAsia="宋体" w:cs="Times New Roman"/>
          <w:b/>
          <w:snapToGrid/>
          <w:color w:val="auto"/>
          <w:sz w:val="24"/>
          <w:szCs w:val="21"/>
          <w:lang w:eastAsia="zh-CN"/>
        </w:rPr>
        <w:t>第九条 合同解除</w:t>
      </w:r>
    </w:p>
    <w:p w14:paraId="13D418BE">
      <w:pPr>
        <w:kinsoku/>
        <w:autoSpaceDE/>
        <w:autoSpaceDN/>
        <w:adjustRightInd/>
        <w:snapToGrid/>
        <w:spacing w:line="560" w:lineRule="exact"/>
        <w:ind w:firstLine="480" w:firstLineChars="200"/>
        <w:textAlignment w:val="auto"/>
        <w:rPr>
          <w:rFonts w:hint="eastAsia" w:ascii="宋体" w:hAnsi="宋体" w:eastAsia="宋体" w:cs="宋体"/>
          <w:snapToGrid/>
          <w:color w:val="auto"/>
          <w:sz w:val="24"/>
          <w:szCs w:val="21"/>
          <w:lang w:eastAsia="zh-CN"/>
        </w:rPr>
      </w:pPr>
      <w:r>
        <w:rPr>
          <w:rFonts w:hint="eastAsia" w:ascii="宋体" w:hAnsi="宋体" w:eastAsia="宋体" w:cs="Times New Roman"/>
          <w:snapToGrid/>
          <w:color w:val="auto"/>
          <w:sz w:val="24"/>
          <w:szCs w:val="21"/>
          <w:lang w:eastAsia="zh-CN"/>
        </w:rPr>
        <w:t>对一年内连续2次月考核在70分以下，或累计有3次月考核在75分以下的，</w:t>
      </w:r>
      <w:r>
        <w:rPr>
          <w:rFonts w:hint="eastAsia" w:ascii="宋体" w:hAnsi="宋体" w:eastAsia="宋体" w:cs="Times New Roman"/>
          <w:snapToGrid/>
          <w:color w:val="auto"/>
          <w:sz w:val="24"/>
          <w:szCs w:val="21"/>
          <w:lang w:val="en-US" w:eastAsia="zh-CN"/>
        </w:rPr>
        <w:t>甲方</w:t>
      </w:r>
      <w:r>
        <w:rPr>
          <w:rFonts w:hint="eastAsia" w:ascii="宋体" w:hAnsi="宋体" w:eastAsia="宋体" w:cs="Times New Roman"/>
          <w:snapToGrid/>
          <w:color w:val="auto"/>
          <w:sz w:val="24"/>
          <w:szCs w:val="21"/>
          <w:lang w:eastAsia="zh-CN"/>
        </w:rPr>
        <w:t>有权与绿化养护公司解除合同。</w:t>
      </w:r>
    </w:p>
    <w:p w14:paraId="2AB10E4A">
      <w:pPr>
        <w:kinsoku/>
        <w:autoSpaceDE/>
        <w:autoSpaceDN/>
        <w:adjustRightInd/>
        <w:snapToGrid/>
        <w:spacing w:line="560" w:lineRule="exact"/>
        <w:textAlignment w:val="auto"/>
        <w:rPr>
          <w:rFonts w:ascii="宋体" w:hAnsi="宋体" w:eastAsia="宋体" w:cs="Times New Roman"/>
          <w:b/>
          <w:snapToGrid/>
          <w:color w:val="auto"/>
          <w:sz w:val="24"/>
          <w:szCs w:val="21"/>
          <w:lang w:eastAsia="zh-CN"/>
        </w:rPr>
      </w:pPr>
      <w:r>
        <w:rPr>
          <w:rFonts w:hint="eastAsia" w:ascii="宋体" w:hAnsi="宋体" w:eastAsia="宋体" w:cs="Times New Roman"/>
          <w:b/>
          <w:snapToGrid/>
          <w:color w:val="auto"/>
          <w:sz w:val="24"/>
          <w:szCs w:val="21"/>
          <w:lang w:eastAsia="zh-CN"/>
        </w:rPr>
        <w:t>第十条 其他事项</w:t>
      </w:r>
    </w:p>
    <w:p w14:paraId="4300C3F6">
      <w:pPr>
        <w:kinsoku/>
        <w:autoSpaceDE/>
        <w:autoSpaceDN/>
        <w:adjustRightInd/>
        <w:snapToGrid/>
        <w:spacing w:line="560" w:lineRule="exact"/>
        <w:ind w:left="360" w:hanging="360"/>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1、本合同之附件均为合同有效组成部分，本合同及附件内空格部分填写的文字与印刷文字具有同等法律效力。</w:t>
      </w:r>
    </w:p>
    <w:p w14:paraId="1184EC1B">
      <w:pPr>
        <w:kinsoku/>
        <w:autoSpaceDE/>
        <w:autoSpaceDN/>
        <w:adjustRightInd/>
        <w:snapToGrid/>
        <w:spacing w:line="560" w:lineRule="exact"/>
        <w:ind w:left="360" w:hanging="360"/>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2、本合同未尽事宜，双方可另行以书面形式签订补充协议。</w:t>
      </w:r>
    </w:p>
    <w:p w14:paraId="1163389F">
      <w:pPr>
        <w:kinsoku/>
        <w:autoSpaceDE/>
        <w:autoSpaceDN/>
        <w:adjustRightInd/>
        <w:snapToGrid/>
        <w:spacing w:line="560" w:lineRule="exact"/>
        <w:ind w:left="-2" w:leftChars="-1" w:firstLine="2"/>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3、因合同的解释或履行发生争议时，由双方另行协商解决，协商不成，向西安仲裁委员会提起仲裁。双方合同中所列的地址为双方认可的法定送达地址。</w:t>
      </w:r>
    </w:p>
    <w:p w14:paraId="6871298E">
      <w:pPr>
        <w:kinsoku/>
        <w:autoSpaceDE/>
        <w:autoSpaceDN/>
        <w:adjustRightInd/>
        <w:snapToGrid/>
        <w:spacing w:line="560" w:lineRule="exact"/>
        <w:textAlignment w:val="auto"/>
        <w:rPr>
          <w:rFonts w:hint="eastAsia" w:ascii="宋体" w:hAnsi="宋体" w:eastAsia="宋体" w:cs="Times New Roman"/>
          <w:snapToGrid/>
          <w:color w:val="auto"/>
          <w:sz w:val="24"/>
          <w:szCs w:val="21"/>
          <w:lang w:val="en-US" w:eastAsia="zh-CN"/>
        </w:rPr>
      </w:pPr>
      <w:r>
        <w:rPr>
          <w:rFonts w:hint="eastAsia" w:ascii="宋体" w:hAnsi="宋体" w:eastAsia="宋体" w:cs="Times New Roman"/>
          <w:snapToGrid/>
          <w:color w:val="auto"/>
          <w:sz w:val="24"/>
          <w:szCs w:val="21"/>
          <w:lang w:val="en-US" w:eastAsia="zh-CN"/>
        </w:rPr>
        <w:t>4、合同签订地点：</w:t>
      </w:r>
    </w:p>
    <w:p w14:paraId="5D92DEDD">
      <w:pPr>
        <w:kinsoku/>
        <w:autoSpaceDE/>
        <w:autoSpaceDN/>
        <w:adjustRightInd/>
        <w:snapToGrid/>
        <w:spacing w:line="560" w:lineRule="exact"/>
        <w:ind w:left="-2" w:leftChars="-1" w:firstLine="2"/>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val="en-US" w:eastAsia="zh-CN"/>
        </w:rPr>
        <w:t>5</w:t>
      </w:r>
      <w:r>
        <w:rPr>
          <w:rFonts w:hint="eastAsia" w:ascii="宋体" w:hAnsi="宋体" w:eastAsia="宋体" w:cs="Times New Roman"/>
          <w:snapToGrid/>
          <w:color w:val="auto"/>
          <w:sz w:val="24"/>
          <w:szCs w:val="21"/>
          <w:lang w:eastAsia="zh-CN"/>
        </w:rPr>
        <w:t>、本合同一式</w:t>
      </w:r>
      <w:r>
        <w:rPr>
          <w:rFonts w:hint="eastAsia" w:ascii="宋体" w:hAnsi="宋体" w:eastAsia="宋体" w:cs="Times New Roman"/>
          <w:snapToGrid/>
          <w:color w:val="auto"/>
          <w:sz w:val="24"/>
          <w:szCs w:val="21"/>
          <w:u w:val="single"/>
          <w:lang w:eastAsia="zh-CN"/>
        </w:rPr>
        <w:t xml:space="preserve"> 陆 </w:t>
      </w:r>
      <w:r>
        <w:rPr>
          <w:rFonts w:hint="eastAsia" w:ascii="宋体" w:hAnsi="宋体" w:eastAsia="宋体" w:cs="Times New Roman"/>
          <w:snapToGrid/>
          <w:color w:val="auto"/>
          <w:sz w:val="24"/>
          <w:szCs w:val="21"/>
          <w:lang w:eastAsia="zh-CN"/>
        </w:rPr>
        <w:t>份。甲乙双方各执正本</w:t>
      </w:r>
      <w:r>
        <w:rPr>
          <w:rFonts w:hint="eastAsia" w:ascii="宋体" w:hAnsi="宋体" w:eastAsia="宋体" w:cs="Times New Roman"/>
          <w:snapToGrid/>
          <w:color w:val="auto"/>
          <w:sz w:val="24"/>
          <w:szCs w:val="21"/>
          <w:u w:val="single"/>
          <w:lang w:eastAsia="zh-CN"/>
        </w:rPr>
        <w:t xml:space="preserve"> 叁 </w:t>
      </w:r>
      <w:r>
        <w:rPr>
          <w:rFonts w:hint="eastAsia" w:ascii="宋体" w:hAnsi="宋体" w:eastAsia="宋体" w:cs="Times New Roman"/>
          <w:snapToGrid/>
          <w:color w:val="auto"/>
          <w:sz w:val="24"/>
          <w:szCs w:val="21"/>
          <w:lang w:eastAsia="zh-CN"/>
        </w:rPr>
        <w:t>份。</w:t>
      </w:r>
    </w:p>
    <w:p w14:paraId="07458F4A">
      <w:pPr>
        <w:kinsoku/>
        <w:autoSpaceDE/>
        <w:autoSpaceDN/>
        <w:adjustRightInd/>
        <w:snapToGrid/>
        <w:spacing w:line="560" w:lineRule="exact"/>
        <w:ind w:left="-6" w:leftChars="-3" w:firstLine="2"/>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val="en-US" w:eastAsia="zh-CN"/>
        </w:rPr>
        <w:t>6</w:t>
      </w:r>
      <w:r>
        <w:rPr>
          <w:rFonts w:hint="eastAsia" w:ascii="宋体" w:hAnsi="宋体" w:eastAsia="宋体" w:cs="Times New Roman"/>
          <w:snapToGrid/>
          <w:color w:val="auto"/>
          <w:sz w:val="24"/>
          <w:szCs w:val="21"/>
          <w:lang w:eastAsia="zh-CN"/>
        </w:rPr>
        <w:t>、本合同经双方法定代表人或授权代表人签字并签章后生效。</w:t>
      </w:r>
    </w:p>
    <w:p w14:paraId="4628BE68">
      <w:pPr>
        <w:kinsoku/>
        <w:autoSpaceDE/>
        <w:autoSpaceDN/>
        <w:adjustRightInd/>
        <w:snapToGrid/>
        <w:spacing w:line="560" w:lineRule="exact"/>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val="en-US" w:eastAsia="zh-CN"/>
        </w:rPr>
        <w:t>7</w:t>
      </w:r>
      <w:r>
        <w:rPr>
          <w:rFonts w:hint="eastAsia" w:ascii="宋体" w:hAnsi="宋体" w:eastAsia="宋体" w:cs="Times New Roman"/>
          <w:snapToGrid/>
          <w:color w:val="auto"/>
          <w:sz w:val="24"/>
          <w:szCs w:val="21"/>
          <w:lang w:eastAsia="zh-CN"/>
        </w:rPr>
        <w:t>、附件：</w:t>
      </w:r>
    </w:p>
    <w:p w14:paraId="36155076">
      <w:pPr>
        <w:kinsoku/>
        <w:autoSpaceDE/>
        <w:autoSpaceDN/>
        <w:adjustRightInd/>
        <w:snapToGrid/>
        <w:spacing w:line="560" w:lineRule="exact"/>
        <w:textAlignment w:val="auto"/>
        <w:rPr>
          <w:rFonts w:hint="eastAsia"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附件：1.碑林区绿化养护作业标准</w:t>
      </w:r>
    </w:p>
    <w:p w14:paraId="1DEBF06B">
      <w:pPr>
        <w:kinsoku/>
        <w:autoSpaceDE/>
        <w:autoSpaceDN/>
        <w:adjustRightInd/>
        <w:snapToGrid/>
        <w:spacing w:line="560" w:lineRule="exact"/>
        <w:ind w:firstLine="720" w:firstLineChars="300"/>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2.作业标段分区详表</w:t>
      </w:r>
    </w:p>
    <w:p w14:paraId="1EA0C482">
      <w:pPr>
        <w:kinsoku/>
        <w:autoSpaceDE/>
        <w:autoSpaceDN/>
        <w:adjustRightInd/>
        <w:snapToGrid/>
        <w:textAlignment w:val="auto"/>
        <w:rPr>
          <w:rFonts w:ascii="Calibri" w:hAnsi="Calibri" w:eastAsia="宋体" w:cs="Times New Roman"/>
          <w:snapToGrid/>
          <w:color w:val="auto"/>
          <w:sz w:val="24"/>
          <w:szCs w:val="24"/>
          <w:lang w:eastAsia="zh-CN"/>
        </w:rPr>
      </w:pPr>
    </w:p>
    <w:p w14:paraId="19BEF1D1">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甲方（签章）                          乙方（签章）</w:t>
      </w:r>
    </w:p>
    <w:p w14:paraId="4EFEE2DE">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 xml:space="preserve"> 法定代表人：                          法定代表人：</w:t>
      </w:r>
    </w:p>
    <w:p w14:paraId="23A7501E">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 xml:space="preserve"> 委托代理人：                          委托代理人：</w:t>
      </w:r>
    </w:p>
    <w:p w14:paraId="4239EE91">
      <w:pPr>
        <w:kinsoku/>
        <w:autoSpaceDE/>
        <w:autoSpaceDN/>
        <w:adjustRightInd/>
        <w:snapToGrid/>
        <w:spacing w:line="560" w:lineRule="exact"/>
        <w:textAlignment w:val="auto"/>
        <w:rPr>
          <w:rFonts w:ascii="宋体" w:hAnsi="宋体" w:eastAsia="宋体" w:cs="Times New Roman"/>
          <w:snapToGrid/>
          <w:color w:val="auto"/>
          <w:sz w:val="24"/>
          <w:szCs w:val="21"/>
          <w:lang w:eastAsia="zh-CN"/>
        </w:rPr>
      </w:pPr>
      <w:r>
        <w:rPr>
          <w:rFonts w:hint="eastAsia" w:ascii="宋体" w:hAnsi="宋体" w:eastAsia="宋体" w:cs="Times New Roman"/>
          <w:snapToGrid/>
          <w:color w:val="auto"/>
          <w:sz w:val="24"/>
          <w:szCs w:val="21"/>
          <w:lang w:eastAsia="zh-CN"/>
        </w:rPr>
        <w:t xml:space="preserve"> </w:t>
      </w:r>
    </w:p>
    <w:p w14:paraId="1B5C2FDC">
      <w:pPr>
        <w:kinsoku/>
        <w:autoSpaceDE/>
        <w:autoSpaceDN/>
        <w:adjustRightInd/>
        <w:snapToGrid/>
        <w:textAlignment w:val="auto"/>
        <w:rPr>
          <w:rFonts w:hint="eastAsia" w:ascii="宋体" w:hAnsi="宋体" w:eastAsia="宋体" w:cs="宋体"/>
          <w:snapToGrid/>
          <w:color w:val="auto"/>
          <w:sz w:val="24"/>
          <w:szCs w:val="21"/>
          <w:lang w:val="en-US" w:eastAsia="zh-CN" w:bidi="ar-SA"/>
        </w:rPr>
      </w:pPr>
      <w:r>
        <w:rPr>
          <w:rFonts w:hint="eastAsia" w:ascii="Calibri" w:hAnsi="Calibri" w:eastAsia="宋体" w:cs="Times New Roman"/>
          <w:snapToGrid/>
          <w:color w:val="auto"/>
          <w:sz w:val="24"/>
          <w:szCs w:val="21"/>
          <w:lang w:val="en-US" w:eastAsia="zh-CN" w:bidi="ar-SA"/>
        </w:rPr>
        <w:t xml:space="preserve">                                       </w:t>
      </w:r>
      <w:r>
        <w:rPr>
          <w:rFonts w:hint="eastAsia" w:ascii="宋体" w:hAnsi="宋体" w:eastAsia="宋体" w:cs="Times New Roman"/>
          <w:bCs/>
          <w:snapToGrid/>
          <w:color w:val="auto"/>
          <w:sz w:val="24"/>
          <w:szCs w:val="21"/>
          <w:lang w:val="en-US" w:eastAsia="zh-CN" w:bidi="ar-SA"/>
        </w:rPr>
        <w:t xml:space="preserve">合同订立时间：    </w:t>
      </w:r>
      <w:r>
        <w:rPr>
          <w:rFonts w:hint="eastAsia" w:ascii="宋体" w:hAnsi="宋体" w:eastAsia="宋体" w:cs="宋体"/>
          <w:snapToGrid/>
          <w:color w:val="auto"/>
          <w:sz w:val="24"/>
          <w:szCs w:val="21"/>
          <w:lang w:val="en-US" w:eastAsia="zh-CN" w:bidi="ar-SA"/>
        </w:rPr>
        <w:t>年   月   日</w:t>
      </w:r>
    </w:p>
    <w:p w14:paraId="28E40678">
      <w:pPr>
        <w:kinsoku/>
        <w:autoSpaceDE/>
        <w:autoSpaceDN/>
        <w:adjustRightInd/>
        <w:snapToGrid/>
        <w:textAlignment w:val="auto"/>
        <w:rPr>
          <w:rFonts w:hint="eastAsia" w:ascii="宋体" w:hAnsi="宋体" w:eastAsia="宋体" w:cs="宋体"/>
          <w:snapToGrid/>
          <w:color w:val="auto"/>
          <w:sz w:val="24"/>
          <w:szCs w:val="21"/>
          <w:lang w:val="en-US" w:eastAsia="zh-CN" w:bidi="ar-SA"/>
        </w:rPr>
      </w:pPr>
      <w:r>
        <w:rPr>
          <w:rFonts w:hint="eastAsia" w:ascii="宋体" w:hAnsi="宋体" w:eastAsia="宋体" w:cs="宋体"/>
          <w:snapToGrid/>
          <w:color w:val="auto"/>
          <w:sz w:val="24"/>
          <w:szCs w:val="21"/>
          <w:lang w:val="en-US" w:eastAsia="zh-CN" w:bidi="ar-SA"/>
        </w:rPr>
        <w:br w:type="page"/>
      </w:r>
    </w:p>
    <w:p w14:paraId="139803A2">
      <w:pPr>
        <w:kinsoku/>
        <w:autoSpaceDE/>
        <w:autoSpaceDN/>
        <w:adjustRightInd/>
        <w:snapToGrid/>
        <w:spacing w:after="0" w:line="540" w:lineRule="exact"/>
        <w:textAlignment w:val="auto"/>
        <w:rPr>
          <w:rFonts w:hint="eastAsia" w:ascii="仿宋_GB2312" w:hAnsi="仿宋_GB2312" w:eastAsia="仿宋_GB2312" w:cs="仿宋_GB2312"/>
          <w:b/>
          <w:bCs/>
          <w:snapToGrid/>
          <w:color w:val="000000"/>
          <w:sz w:val="21"/>
          <w:szCs w:val="21"/>
          <w:lang w:eastAsia="zh-CN"/>
        </w:rPr>
      </w:pPr>
      <w:r>
        <w:rPr>
          <w:rFonts w:hint="eastAsia" w:ascii="仿宋_GB2312" w:hAnsi="仿宋_GB2312" w:eastAsia="仿宋_GB2312" w:cs="仿宋_GB2312"/>
          <w:b/>
          <w:bCs/>
          <w:snapToGrid/>
          <w:color w:val="000000"/>
          <w:sz w:val="21"/>
          <w:szCs w:val="21"/>
          <w:lang w:eastAsia="zh-CN"/>
        </w:rPr>
        <w:t>附件1：</w:t>
      </w:r>
    </w:p>
    <w:p w14:paraId="4B4D6568">
      <w:pPr>
        <w:kinsoku/>
        <w:autoSpaceDE/>
        <w:autoSpaceDN/>
        <w:adjustRightInd/>
        <w:snapToGrid/>
        <w:spacing w:after="0" w:line="540" w:lineRule="exact"/>
        <w:ind w:firstLine="422" w:firstLineChars="200"/>
        <w:jc w:val="center"/>
        <w:textAlignment w:val="auto"/>
        <w:rPr>
          <w:rFonts w:hint="eastAsia" w:ascii="仿宋_GB2312" w:hAnsi="仿宋_GB2312" w:eastAsia="仿宋_GB2312" w:cs="仿宋_GB2312"/>
          <w:b/>
          <w:bCs/>
          <w:snapToGrid/>
          <w:color w:val="000000"/>
          <w:sz w:val="21"/>
          <w:szCs w:val="21"/>
          <w:lang w:eastAsia="zh-CN"/>
        </w:rPr>
      </w:pPr>
      <w:r>
        <w:rPr>
          <w:rFonts w:hint="eastAsia" w:ascii="仿宋_GB2312" w:hAnsi="仿宋_GB2312" w:eastAsia="仿宋_GB2312" w:cs="仿宋_GB2312"/>
          <w:b/>
          <w:bCs/>
          <w:snapToGrid/>
          <w:color w:val="000000"/>
          <w:sz w:val="21"/>
          <w:szCs w:val="21"/>
          <w:lang w:eastAsia="zh-CN"/>
        </w:rPr>
        <w:t>碑林区绿化养护作业标准</w:t>
      </w:r>
    </w:p>
    <w:p w14:paraId="68345E30">
      <w:pPr>
        <w:kinsoku/>
        <w:autoSpaceDE/>
        <w:autoSpaceDN/>
        <w:adjustRightInd/>
        <w:snapToGrid/>
        <w:spacing w:after="0" w:line="560" w:lineRule="exact"/>
        <w:ind w:firstLine="422" w:firstLineChars="200"/>
        <w:textAlignment w:val="auto"/>
        <w:rPr>
          <w:rFonts w:hint="eastAsia" w:ascii="仿宋_GB2312" w:hAnsi="仿宋_GB2312" w:eastAsia="仿宋_GB2312" w:cs="仿宋_GB2312"/>
          <w:b/>
          <w:bCs/>
          <w:snapToGrid/>
          <w:color w:val="000000"/>
          <w:sz w:val="21"/>
          <w:szCs w:val="21"/>
          <w:lang w:eastAsia="zh-CN"/>
        </w:rPr>
      </w:pPr>
      <w:r>
        <w:rPr>
          <w:rFonts w:hint="eastAsia" w:ascii="仿宋_GB2312" w:hAnsi="仿宋_GB2312" w:eastAsia="仿宋_GB2312" w:cs="仿宋_GB2312"/>
          <w:b/>
          <w:bCs/>
          <w:snapToGrid/>
          <w:color w:val="000000"/>
          <w:sz w:val="21"/>
          <w:szCs w:val="21"/>
          <w:lang w:eastAsia="zh-CN"/>
        </w:rPr>
        <w:t>1、范围</w:t>
      </w:r>
    </w:p>
    <w:p w14:paraId="41C3B044">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本标准规定了碑林区绿化带、绿地小广场、花坛园林植物、设施等养护质量标准，适用于采购人管辖范围内绿化带、绿地小广场、花坛园林绿化及设施的养护管理工作。</w:t>
      </w:r>
    </w:p>
    <w:p w14:paraId="5A9E0DFB">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2、规范性引用文件</w:t>
      </w:r>
    </w:p>
    <w:p w14:paraId="27F1394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下列文件中的条款通过本标准的引用而成为本标准的条款。</w:t>
      </w:r>
    </w:p>
    <w:p w14:paraId="6D453DEE">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DB44/T268—2005 城市绿地养护技术规范</w:t>
      </w:r>
    </w:p>
    <w:p w14:paraId="1E18BE61">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DB44/T269—2005 城市绿地养护质量标准</w:t>
      </w:r>
    </w:p>
    <w:p w14:paraId="3389A307">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3、术语和定义</w:t>
      </w:r>
    </w:p>
    <w:p w14:paraId="07054DD2">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下列术语和定义适用于本标准。</w:t>
      </w:r>
    </w:p>
    <w:p w14:paraId="59A7B988">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3.1 绿色期</w:t>
      </w:r>
    </w:p>
    <w:p w14:paraId="561BF8FD">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一年内草坪自然生长状态下叶色保持正常绿色的持续时间。</w:t>
      </w:r>
    </w:p>
    <w:p w14:paraId="154FFA1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3.2 杂草覆盖率</w:t>
      </w:r>
    </w:p>
    <w:p w14:paraId="3F49E8FD">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单位面积内杂草所覆盖面积的百分比。</w:t>
      </w:r>
    </w:p>
    <w:p w14:paraId="20017EC0">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4、分级管养</w:t>
      </w:r>
    </w:p>
    <w:p w14:paraId="34EBAB12">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根据采购人管辖范围内的绿化带、绿地小广场、花坛所处位置的重要程度及绿地的性质和养护质量水平要求，所管辖的绿化带、绿地小广场、花坛园林绿化养护质量标准全部为三级养护。</w:t>
      </w:r>
    </w:p>
    <w:p w14:paraId="0B822944">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5、三级养护总体质量标准</w:t>
      </w:r>
    </w:p>
    <w:p w14:paraId="383FAA2C">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5.1 绿化养护单位要制订较完善的养护技术方案，建有工种齐全和相对稳定的养护队伍，绿化养护技术措施比较完善，管理基本到位、得当，植物配置科学合理，基本达到黄土不裸露，绿地总体景观较好。</w:t>
      </w:r>
    </w:p>
    <w:p w14:paraId="4CDEE81C">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5.2 园林植物</w:t>
      </w:r>
    </w:p>
    <w:p w14:paraId="58F68BC0">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（1）草坪植物生长旺盛、叶片大小、色泽正常、无杂草，高度控制在8厘米以内，无明显裸露地面，基本无枯黄叶，枯黄率控制在2%以内；其他植物的新梢枝叶萌发正常，叶片大小和色泽正常，基本无枯枝败叶。</w:t>
      </w:r>
    </w:p>
    <w:p w14:paraId="326553AE">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2）乔木树冠、株型保持基本完整，生长与开花结果正常；主侧枝分布基本合理，分枝点高度与树种特性基本相适应，分枝不影响浏览及观景,数量适宜、修剪科学合理。基本无死株、缺株。广场树木的体量、高度基本保持一致，倾斜率小于5%。造型植物修剪合理，线条基本齐整、圆滑。修剪时要考虑其生长发育特点，整形效果需与环境协调。清理及修剪的枯枝叶和杂草要随剪随收，集中清理弃运，禁止乱堆乱放或焚烧处理。</w:t>
      </w:r>
    </w:p>
    <w:p w14:paraId="53F10AD3">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（3）花灌木生长正常，株型完整、丰满，开花正常，花后修剪合理、及时。木本地被植物生长正常，覆盖率达到 97%以上，基本无杂草，无死株、缺株。</w:t>
      </w:r>
    </w:p>
    <w:p w14:paraId="483593B2">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4）花坛、花带、花台植物生长良好，花卉管养要达到整齐美观、四季常绿、生势旺盛、高度基本一致，修剪合理且叶片大小、色泽正常，及时摘除残花败叶，基本无枯黄叶的效果。要求根据生长需要加强淋水和施肥，保证水肥充足，确保每年绿色期不少于320天，绿化覆盖率不小于98%，及时清除杂物、垃圾、纸屑，无积水，杂草的覆盖率确保不超过规定范围。</w:t>
      </w:r>
    </w:p>
    <w:p w14:paraId="083D5514">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（5）绿篱生长旺盛，修剪整齐、合理，无死株，无明显断垄，无高草杂草，无明显病虫害发生。</w:t>
      </w:r>
    </w:p>
    <w:p w14:paraId="7F5B1301">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（6）藤本植物生长正常，开花适时，应根据不同植物的攀缘特点，及时采取相应的牵引、设置网架等技术措施，视攀缘植物生长习性，覆盖率不低于85%。每年常规修剪一次，2-3年理藤一次。</w:t>
      </w:r>
    </w:p>
    <w:p w14:paraId="363F715D">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（7）草本花卉生长正常，株型完整，开花适时，开花时覆盖率达到 90%以上，基本无杂草；花后需修剪的，得到合理修剪。</w:t>
      </w:r>
    </w:p>
    <w:p w14:paraId="52751866">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（8）草坪及地被植物整齐，草坪的绿色期不少于250天，覆盖率90%以上，经常除杂草和松土，除杂松土时要保护根系，不能伤根及造成根系裸露，杂草的覆盖率不超过3%，无积水，修剪合理。</w:t>
      </w:r>
    </w:p>
    <w:p w14:paraId="0CE9C82F">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val="en-US" w:eastAsia="zh-CN"/>
        </w:rPr>
      </w:pPr>
      <w:r>
        <w:rPr>
          <w:rFonts w:hint="eastAsia" w:ascii="仿宋_GB2312" w:hAnsi="仿宋_GB2312" w:eastAsia="仿宋_GB2312" w:cs="仿宋_GB2312"/>
          <w:snapToGrid/>
          <w:color w:val="000000"/>
          <w:sz w:val="21"/>
          <w:szCs w:val="21"/>
          <w:lang w:val="en-US" w:eastAsia="zh-CN"/>
        </w:rPr>
        <w:t>(9)及时对绿化带、小广场内死树进行砍伐、清理，对枯枝进行修剪、清理。</w:t>
      </w:r>
    </w:p>
    <w:p w14:paraId="23E7C55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w:t>
      </w:r>
      <w:r>
        <w:rPr>
          <w:rFonts w:hint="eastAsia" w:ascii="仿宋_GB2312" w:hAnsi="仿宋_GB2312" w:eastAsia="仿宋_GB2312" w:cs="仿宋_GB2312"/>
          <w:snapToGrid/>
          <w:color w:val="000000"/>
          <w:sz w:val="21"/>
          <w:szCs w:val="21"/>
          <w:lang w:val="en-US" w:eastAsia="zh-CN"/>
        </w:rPr>
        <w:t>10</w:t>
      </w:r>
      <w:r>
        <w:rPr>
          <w:rFonts w:hint="eastAsia" w:ascii="仿宋_GB2312" w:hAnsi="仿宋_GB2312" w:eastAsia="仿宋_GB2312" w:cs="仿宋_GB2312"/>
          <w:snapToGrid/>
          <w:color w:val="000000"/>
          <w:sz w:val="21"/>
          <w:szCs w:val="21"/>
          <w:lang w:eastAsia="zh-CN"/>
        </w:rPr>
        <w:t>）及时清理死苗，一周内补植回原来的种类并力求规格与原来植株接近，以保证优良的景观效果,费用由承包人自负。草坪补植或改植后一个月内覆盖率达到95%以上，其他植物补植或改植的成活率达到98%以上。</w:t>
      </w:r>
    </w:p>
    <w:p w14:paraId="3EA333DB">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（1</w:t>
      </w:r>
      <w:r>
        <w:rPr>
          <w:rFonts w:hint="eastAsia" w:ascii="仿宋_GB2312" w:hAnsi="仿宋_GB2312" w:eastAsia="仿宋_GB2312" w:cs="仿宋_GB2312"/>
          <w:snapToGrid/>
          <w:color w:val="000000"/>
          <w:sz w:val="21"/>
          <w:szCs w:val="21"/>
          <w:lang w:val="en-US" w:eastAsia="zh-CN"/>
        </w:rPr>
        <w:t>1</w:t>
      </w:r>
      <w:r>
        <w:rPr>
          <w:rFonts w:hint="eastAsia" w:ascii="仿宋_GB2312" w:hAnsi="仿宋_GB2312" w:eastAsia="仿宋_GB2312" w:cs="仿宋_GB2312"/>
          <w:snapToGrid/>
          <w:color w:val="000000"/>
          <w:sz w:val="21"/>
          <w:szCs w:val="21"/>
          <w:lang w:eastAsia="zh-CN"/>
        </w:rPr>
        <w:t>）病虫害控制及时、有效，被害植株不超过5%，被害叶片不超过叶片总量的3%。有害植物的危害得到有效治理。</w:t>
      </w:r>
    </w:p>
    <w:p w14:paraId="4B9CF0D2">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5.3 绿化保洁</w:t>
      </w:r>
    </w:p>
    <w:p w14:paraId="4826129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（1）周一至周日，上班时间7：30-18：30。遇检查日、节假日按实际要求延长保洁时间。</w:t>
      </w:r>
    </w:p>
    <w:p w14:paraId="7B9BF3DE">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2）规范所管辖绿化带、绿地小广场、花坛所属区域的保洁工作，清除树穴内、绿化带、绿地小广场、花坛的杂草、垃圾，绿地整洁，无杂物、无白色污染（树挂），绿化生产垃圾（如树枝、树叶、草屑等）、绿地内杂物应日产日清，做到保洁及时。确保所属区域的卫生良好，环境整洁。</w:t>
      </w:r>
    </w:p>
    <w:p w14:paraId="770D5D86">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（3）本项目环境消毒服务包括绿化带、绿地小广场、花坛消毒、灭四害（灭老鼠、蟑螂等）、预防流行性疾病、传播性病毒消杀服务；</w:t>
      </w:r>
    </w:p>
    <w:p w14:paraId="06569C00">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4）绿地完整，无堆物、堆料、搭棚、乱张贴、涂乌、乱挂乱拉、焚烧杂物，树干上无钉拴刻画等现象，绿地边线以外2米内的荒地的保洁工作到位，不能出现垃圾连片的地方（特别是花生壳、瓜子壳）或出现鼠洞、蚁穴、蚊蝇孳生地。</w:t>
      </w:r>
    </w:p>
    <w:p w14:paraId="3A45D227">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5.4 园建设施</w:t>
      </w:r>
    </w:p>
    <w:p w14:paraId="50411A2F">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（1）园路、绿化井盖和标识牌等园林设施完整、安全，维护及时，并按合同要求及时翻新。</w:t>
      </w:r>
    </w:p>
    <w:p w14:paraId="321E8705">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（2）喷淋系统要及时检修，保证喷头正常喷水，杜绝发生管道漏水现象。</w:t>
      </w:r>
    </w:p>
    <w:p w14:paraId="11390998">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5.5 施肥要求</w:t>
      </w:r>
    </w:p>
    <w:p w14:paraId="07E84AFD">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乔灌木每年不少于2次，2—3月和 9—10月重点进行施肥，复合肥和基肥结合，每次2—3千克/株，对角埋施，新种、补种、生长势弱树木可适时适量多施；观花灌木每年不少于3次，每次 0.5千克/株；成片花卉每月撒施复合肥1次，每次0.15千克/平方米，每年根据其长势和覆盖率情况适当施基肥1—2次，每次0.5千克/平方米；绿篱每年撒施复合肥不少于2次，每次0.15 千克/平方米，每年根据其长势和覆盖率情况适当施基肥1—2 次，每次0.5千克/平方米；草地、地被每年不少于2 次，每次施尿素0.1千克/平方米。</w:t>
      </w:r>
    </w:p>
    <w:p w14:paraId="3AF5FA6F">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乙方施肥前应提早三天通知甲方或监理公司到场监督，该次施肥的购肥发票应交给甲方和监理公司备案，购肥发票反映的肥料用量作为评定乙方有否按约定履行施肥义务的依据，如乙方拒交相关购肥发票的，甲方有权拒付当期养护费用。</w:t>
      </w:r>
    </w:p>
    <w:p w14:paraId="68095821">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5.6 苗木修剪</w:t>
      </w:r>
    </w:p>
    <w:p w14:paraId="76DA4C3D">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1）绿化带、绿地小广场、花坛内的自然形乔木每年不少于1次，造型乔木每年不少于3次，主要修剪内膛枝、徒长枝、病虫枝、交叉枝、下垂枝、扭伤枝及枯枝烂头等。庭荫树的分枝点应随着树木生长逐步提高，树冠与树干高度的比例应在7：3至6：4之间。</w:t>
      </w:r>
    </w:p>
    <w:p w14:paraId="4655D71C">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（2）自然形灌木每年不少于4次，造型灌木每月不少于1次。灌木修剪应促进枝繁叶茂、分布均匀。花灌木修剪要有利于短枝和花芽的形成，遵循“自下而上、先内后外、去弱留强、去老留新”的原则进行修剪。</w:t>
      </w:r>
    </w:p>
    <w:p w14:paraId="05607FF7">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（3）绿篱修剪一般按造型修剪的方法进行，按照规定的形状和高度修剪。每次修剪应保持形状轮廓线条清晰、表面平整、圆滑。修剪后新梢生长超过10厘米时，应进行第二次修剪。</w:t>
      </w:r>
    </w:p>
    <w:p w14:paraId="3A112AA6">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（4）草坪修剪要促进分枝，加速覆盖功能,修剪高度应保持在8 厘米以内，当草高超过8厘米时必须进行修剪。</w:t>
      </w:r>
    </w:p>
    <w:p w14:paraId="4413CA20">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休眠期修剪以整形为主，可稍重剪，生长期修剪以调整树势为主，宜轻剪。修剪要避开树木伤流盛期。绿化修剪后的枯枝干叶等，在修剪当天及时清理运走，并及时清除灌木丛上的修剪枝，苗木落叶当天及时清扫保洁。</w:t>
      </w:r>
    </w:p>
    <w:p w14:paraId="49BCC168">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5.7浇灌</w:t>
      </w:r>
    </w:p>
    <w:p w14:paraId="4DEA97EF">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1）浇灌要求：旱季一般乔木3—5天浇灌1次，新补植乔木，浇灌好定根水后，1周内每天浇灌1次；单丛灌木、成片花卉、绿篱一般2—3天浇灌1次，补植后一周内每天浇灌1次，施肥和补植需加强浇灌；草地、地被一般每天浇灌1次。雨季根据天气情况适当调节。</w:t>
      </w:r>
    </w:p>
    <w:p w14:paraId="6C6605D2">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（2）浇灌的实施应科学、合理、宜采用喷灌或滴灌等节水方式。对于花坛及道路分车带内植物，在干旱季节，可进行叶面喷水。在花芽分化时应适当控制浇灌量，以免园林植物徒长。</w:t>
      </w:r>
    </w:p>
    <w:p w14:paraId="2568EB39">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（3）日浇灌的时间应根据季节与气温决定，并注意控制水温与表土温差不宜太大，以免造成根系伤害。夏秋高温季节，浇灌应避开中午烈日，宜在早10 时之前或 16 时之后进行；冬季及早春，宜在 10 时至 16 时之间进行。用机械进行浇水时，不宜在交通繁忙时段进行。</w:t>
      </w:r>
    </w:p>
    <w:p w14:paraId="355C1F4D">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（4）喷灌时应确保喷水的有效范围与园林植物的种植范围一致。</w:t>
      </w:r>
    </w:p>
    <w:p w14:paraId="5763C2DF">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5.8 乔木涂白</w:t>
      </w:r>
    </w:p>
    <w:p w14:paraId="739DFD67">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每年5月和12月对绿化带、花坛内的乔木进行涂白，刷石灰水或石硫合剂各一次,减少病虫害发生和预防冻害，使乔木安全越冬。为美观，乔木涂白高度统一为 1.2 米。</w:t>
      </w:r>
    </w:p>
    <w:p w14:paraId="7EEA2BE9">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5.9补栽工作</w:t>
      </w:r>
    </w:p>
    <w:p w14:paraId="0C501DD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如出现黄土裸露、缺株断垄、植株枯死问题，应于每年春季（3-5月）、秋冬季（10-11月）进行两次补栽。</w:t>
      </w:r>
    </w:p>
    <w:p w14:paraId="16F7526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5.10全民植树活动或突击性的植树绿化任务，能按时、按标准、按要求完成所分配的工作。每逢节假日，如春节、元旦、五一、国庆节等或某些特别日子，能按上级要求完成特别安排的工作。</w:t>
      </w:r>
    </w:p>
    <w:p w14:paraId="4BB31FF3">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5.11 防止意外及修复工作包括防台风、防汛、防寒等以及防止其它因素对绿地造成的损坏等，并定期巡视挡土墙及边坡，防止滑坡。由于不可抗力（如台风、暴雨等自然灾害）造成的绿化景观损害，养护单位应在 12 小时内根据实际情况设定的时间内及时完成现场清理和恢复原状的工作，并应以合同附件的形式提交可行的解决方案；未能按要求及时完成清理、恢复原状工作的，当月考核评分档次为差；根据实际情况设定的恢复原状时间内，受损害部分的绿化景观（不包括环境卫生）将不列入考核评分范围内。</w:t>
      </w:r>
    </w:p>
    <w:p w14:paraId="441D5A49">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5.12 安全作业</w:t>
      </w:r>
    </w:p>
    <w:p w14:paraId="29615000">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（1）园林机械的操作人员，应在上岗前接受必要的岗前培训。凡需持证上岗的，必须取得相应的上岗证，并应严格按照操作规程作业。园林机械作业前，应对施工现场进行围合及标示。</w:t>
      </w:r>
    </w:p>
    <w:p w14:paraId="3198DC6F">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（2）在城市主、次干道，快速路或高速公路上作业时，宜选择在非交通繁忙时段进行。作业人员必须披戴具有反光标志的背心，并应在距离作业点正、反方向分别不少于 80m和150m的地方设置反光警示牌及其他警示标志。</w:t>
      </w:r>
    </w:p>
    <w:p w14:paraId="2017374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（3）截除较大的树枝、藤蔓或砍伐清除枯死的树枝时，应预先制定施工方案和应急预案，采取必要的安全措施。</w:t>
      </w:r>
    </w:p>
    <w:p w14:paraId="27C42B53">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（4）服务期内，员工发生的一切意外及伤亡事故由中标单位负责。</w:t>
      </w:r>
    </w:p>
    <w:p w14:paraId="25C3F151">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5.13 绿地设施维护及保护</w:t>
      </w:r>
    </w:p>
    <w:p w14:paraId="42EDA7B6">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1、设施维护</w:t>
      </w:r>
    </w:p>
    <w:p w14:paraId="0E685C66">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绿地设施包括喷灌、照明、音响系统和园路、护栏、坐凳、喷泉、雕塑、移动花钵等景观设施。</w:t>
      </w:r>
    </w:p>
    <w:p w14:paraId="42E408A2">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（1）喷灌设施</w:t>
      </w:r>
    </w:p>
    <w:p w14:paraId="0F076A77">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保护绿化供水设施，要保持喷洒正常、开关灵活、管道无漏水。</w:t>
      </w:r>
    </w:p>
    <w:p w14:paraId="4F3F730B">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（2）园林照明、音响设施</w:t>
      </w:r>
    </w:p>
    <w:p w14:paraId="0F63F982">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绿地上的灯光、音响，要经常进行检修，发现线路破损、灯泡烧毁、灯罩破损、音箱损坏的要及时进行修复、更换，保持设备正常运作。</w:t>
      </w:r>
    </w:p>
    <w:p w14:paraId="5CAB6402">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（3）水池喷泉</w:t>
      </w:r>
    </w:p>
    <w:p w14:paraId="2A5DA6F3">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保持水面及水池内外清洁，水质良好，水量适度，喷泉运作正常。池壁美观，不漏水，设施完好无损；要求及时清除杂物，定时杀蚊子幼虫，定时清洗水池。</w:t>
      </w:r>
    </w:p>
    <w:p w14:paraId="43195566">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（4）护栏</w:t>
      </w:r>
    </w:p>
    <w:p w14:paraId="7B5D7412">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护栏要保持整洁完整,定期清理，不能有倾斜的现象，被损环的要及时修补。遇到节日庆典和大型活动应派专人定时定点进行清洗和维护.</w:t>
      </w:r>
    </w:p>
    <w:p w14:paraId="054D2E5D">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（5）园路</w:t>
      </w:r>
    </w:p>
    <w:p w14:paraId="04F579B8">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绿地内园路要保持清洁、美观，完好无损。要及时清除路面垃圾杂物，修补破损并保持完好。</w:t>
      </w:r>
    </w:p>
    <w:p w14:paraId="70B323A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（6）园林雕塑</w:t>
      </w:r>
    </w:p>
    <w:p w14:paraId="6E3B2401">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园林雕塑要保持整洁、美观，完好无损，对其上的乱涂、乱画、乱张贴要及时清理干净，以增强园林美化效果。</w:t>
      </w:r>
    </w:p>
    <w:p w14:paraId="2DA7F093">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（7）移动花钵</w:t>
      </w:r>
    </w:p>
    <w:p w14:paraId="3277C24F">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花钵内的植物生长旺盛，株形优美，叶片、叶色正常，无病虫害，开花植物要及时清理残花和残枝。花钵表面整洁无垃圾和杂物，钵体无乱划、乱画等现象。</w:t>
      </w:r>
    </w:p>
    <w:p w14:paraId="74CF495C">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2、绿地保护</w:t>
      </w:r>
    </w:p>
    <w:p w14:paraId="10B948B7">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eastAsia="zh-CN"/>
        </w:rPr>
      </w:pPr>
      <w:r>
        <w:rPr>
          <w:rFonts w:hint="eastAsia" w:ascii="仿宋_GB2312" w:hAnsi="仿宋_GB2312" w:eastAsia="仿宋_GB2312" w:cs="仿宋_GB2312"/>
          <w:snapToGrid/>
          <w:color w:val="000000"/>
          <w:sz w:val="21"/>
          <w:szCs w:val="21"/>
          <w:lang w:eastAsia="zh-CN"/>
        </w:rPr>
        <w:t>依法严格执行绿化管理条例，加强人员巡查，规划线内绿地不被侵占，绿地版图完整。保护绿地内的花草树木不受损害，对任何侵占和破坏行为要加以制止并及时报告绿化管理部门。</w:t>
      </w:r>
    </w:p>
    <w:p w14:paraId="703308EA">
      <w:pPr>
        <w:spacing w:line="540" w:lineRule="exact"/>
        <w:rPr>
          <w:rFonts w:hint="eastAsia" w:ascii="仿宋_GB2312" w:hAnsi="仿宋_GB2312" w:eastAsia="仿宋_GB2312" w:cs="仿宋_GB2312"/>
          <w:sz w:val="21"/>
          <w:szCs w:val="21"/>
        </w:rPr>
        <w:sectPr>
          <w:footerReference r:id="rId3" w:type="default"/>
          <w:pgSz w:w="11906" w:h="16838"/>
          <w:pgMar w:top="1985" w:right="1361" w:bottom="1701" w:left="1474" w:header="851" w:footer="992" w:gutter="0"/>
          <w:cols w:space="720" w:num="1"/>
          <w:docGrid w:type="lines" w:linePitch="312" w:charSpace="0"/>
        </w:sectPr>
      </w:pPr>
    </w:p>
    <w:p w14:paraId="64FB1F74">
      <w:pPr>
        <w:kinsoku/>
        <w:autoSpaceDE/>
        <w:autoSpaceDN/>
        <w:adjustRightInd/>
        <w:snapToGrid/>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附件2</w:t>
      </w:r>
    </w:p>
    <w:p w14:paraId="011423A1">
      <w:pPr>
        <w:kinsoku/>
        <w:autoSpaceDE/>
        <w:autoSpaceDN/>
        <w:adjustRightInd/>
        <w:snapToGrid/>
        <w:jc w:val="center"/>
        <w:textAlignment w:val="auto"/>
        <w:rPr>
          <w:rFonts w:hint="eastAsia" w:ascii="仿宋_GB2312" w:hAnsi="仿宋_GB2312" w:eastAsia="仿宋_GB2312" w:cs="仿宋_GB2312"/>
          <w:b/>
          <w:bCs/>
          <w:snapToGrid/>
          <w:sz w:val="32"/>
          <w:szCs w:val="32"/>
          <w:lang w:eastAsia="zh-CN"/>
        </w:rPr>
      </w:pPr>
      <w:r>
        <w:rPr>
          <w:rFonts w:hint="eastAsia" w:ascii="仿宋_GB2312" w:hAnsi="仿宋_GB2312" w:eastAsia="仿宋_GB2312" w:cs="仿宋_GB2312"/>
          <w:b/>
          <w:bCs/>
          <w:snapToGrid/>
          <w:color w:val="000000"/>
          <w:sz w:val="32"/>
          <w:szCs w:val="32"/>
          <w:lang w:eastAsia="zh-CN" w:bidi="zh-TW"/>
        </w:rPr>
        <w:t>作业标段分区详表</w:t>
      </w:r>
    </w:p>
    <w:p w14:paraId="3E663AD5">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val="en-US" w:eastAsia="zh-CN"/>
        </w:rPr>
      </w:pPr>
      <w:r>
        <w:rPr>
          <w:rFonts w:hint="eastAsia" w:ascii="仿宋_GB2312" w:hAnsi="仿宋_GB2312" w:eastAsia="仿宋_GB2312" w:cs="仿宋_GB2312"/>
          <w:snapToGrid/>
          <w:color w:val="000000"/>
          <w:sz w:val="21"/>
          <w:szCs w:val="21"/>
          <w:lang w:val="en-US" w:eastAsia="zh-CN"/>
        </w:rPr>
        <w:t>柏树林街办、南院门街办、太乙路街办、长安路街办、长乐坊街办、东关南街街办、文艺路街办、张家村街办。总面积：201201.16㎡</w:t>
      </w:r>
    </w:p>
    <w:p w14:paraId="00EBB6FE">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val="en-US" w:eastAsia="zh-CN"/>
        </w:rPr>
      </w:pPr>
      <w:r>
        <w:rPr>
          <w:rFonts w:hint="eastAsia" w:ascii="仿宋_GB2312" w:hAnsi="仿宋_GB2312" w:eastAsia="仿宋_GB2312" w:cs="仿宋_GB2312"/>
          <w:snapToGrid/>
          <w:color w:val="000000"/>
          <w:sz w:val="21"/>
          <w:szCs w:val="21"/>
          <w:lang w:val="en-US" w:eastAsia="zh-CN"/>
        </w:rPr>
        <w:t>柏树林街办：8624.38㎡     南院门街办：6531.03㎡</w:t>
      </w:r>
    </w:p>
    <w:p w14:paraId="16ADA343">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val="en-US" w:eastAsia="zh-CN"/>
        </w:rPr>
      </w:pPr>
      <w:r>
        <w:rPr>
          <w:rFonts w:hint="eastAsia" w:ascii="仿宋_GB2312" w:hAnsi="仿宋_GB2312" w:eastAsia="仿宋_GB2312" w:cs="仿宋_GB2312"/>
          <w:snapToGrid/>
          <w:color w:val="000000"/>
          <w:sz w:val="21"/>
          <w:szCs w:val="21"/>
          <w:lang w:val="en-US" w:eastAsia="zh-CN"/>
        </w:rPr>
        <w:t xml:space="preserve">太乙路街办：75866.03㎡    长安路街办：14656.48㎡      </w:t>
      </w:r>
    </w:p>
    <w:p w14:paraId="06F981C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val="en-US" w:eastAsia="zh-CN"/>
        </w:rPr>
      </w:pPr>
      <w:r>
        <w:rPr>
          <w:rFonts w:hint="eastAsia" w:ascii="仿宋_GB2312" w:hAnsi="仿宋_GB2312" w:eastAsia="仿宋_GB2312" w:cs="仿宋_GB2312"/>
          <w:snapToGrid/>
          <w:color w:val="000000"/>
          <w:sz w:val="21"/>
          <w:szCs w:val="21"/>
          <w:lang w:val="en-US" w:eastAsia="zh-CN"/>
        </w:rPr>
        <w:t xml:space="preserve">长乐坊街办：5331.62㎡     东关南街街办：25645.79㎡   </w:t>
      </w:r>
    </w:p>
    <w:p w14:paraId="0DA2932A">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val="en-US" w:eastAsia="zh-CN"/>
        </w:rPr>
      </w:pPr>
      <w:r>
        <w:rPr>
          <w:rFonts w:hint="eastAsia" w:ascii="仿宋_GB2312" w:hAnsi="仿宋_GB2312" w:eastAsia="仿宋_GB2312" w:cs="仿宋_GB2312"/>
          <w:snapToGrid/>
          <w:color w:val="000000"/>
          <w:sz w:val="21"/>
          <w:szCs w:val="21"/>
          <w:lang w:val="en-US" w:eastAsia="zh-CN"/>
        </w:rPr>
        <w:t>文艺路街办：28216.9㎡    张家村街办：36328.93㎡</w:t>
      </w:r>
    </w:p>
    <w:p w14:paraId="3881E071">
      <w:pPr>
        <w:ind w:left="420" w:leftChars="200"/>
        <w:rPr>
          <w:rFonts w:hint="eastAsia" w:ascii="仿宋_GB2312" w:hAnsi="仿宋_GB2312" w:eastAsia="仿宋_GB2312" w:cs="仿宋_GB2312"/>
          <w:sz w:val="21"/>
          <w:szCs w:val="21"/>
          <w:lang w:val="en-US" w:eastAsia="zh-CN" w:bidi="ar-SA"/>
        </w:rPr>
      </w:pPr>
    </w:p>
    <w:p w14:paraId="52F2C263">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柏树林街办街头绿地广场明细表</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
        <w:gridCol w:w="2825"/>
        <w:gridCol w:w="3624"/>
        <w:gridCol w:w="1639"/>
      </w:tblGrid>
      <w:tr w14:paraId="6710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78829917">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序号</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60E90EC">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名称</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6E7A5CD">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地址</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A42A7DB">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规模㎡</w:t>
            </w:r>
          </w:p>
        </w:tc>
      </w:tr>
      <w:tr w14:paraId="3561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54886FC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D0C1ED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古韵沁园广场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BC35BB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柏树林路东古玩城门前</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FA0BA1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251.98</w:t>
            </w:r>
          </w:p>
        </w:tc>
      </w:tr>
      <w:tr w14:paraId="3B3E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2063D0E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2C5EC9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和平门内西北角广场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22A1A9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和平门内路西顺城巷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B6F2D1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120.70</w:t>
            </w:r>
          </w:p>
        </w:tc>
      </w:tr>
      <w:tr w14:paraId="75B2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610E3F3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443A08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东门里广场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042961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东门里转盘西南角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9DCFF3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2475.65</w:t>
            </w:r>
          </w:p>
        </w:tc>
      </w:tr>
      <w:tr w14:paraId="52104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6BD038B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856E21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建国门里广场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B0B2E2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建国门里东顺城巷路北（西）</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AC136F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300.24</w:t>
            </w:r>
          </w:p>
        </w:tc>
      </w:tr>
      <w:tr w14:paraId="1B085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503E89D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240453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建国门里广场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A8B837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建国门里东顺城巷路北（东）</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89B3F7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883.26</w:t>
            </w:r>
          </w:p>
        </w:tc>
      </w:tr>
      <w:tr w14:paraId="38E2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63F68CB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20D1E4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下马陵广场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DECD5D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顺城巷下马陵街北侧</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DE573A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380.50</w:t>
            </w:r>
          </w:p>
        </w:tc>
      </w:tr>
      <w:tr w14:paraId="3B3A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34D4B30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C73BDF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卧龙寺广场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13ED08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柏树林卧龙寺围墙外</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4747E4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199.27</w:t>
            </w:r>
          </w:p>
        </w:tc>
      </w:tr>
      <w:tr w14:paraId="781AE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002D8CC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A8C321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碑林博物馆广场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4C292D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文昌门内西侧</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93FC75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265.62</w:t>
            </w:r>
          </w:p>
        </w:tc>
      </w:tr>
      <w:tr w14:paraId="3084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48E9E65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F536DC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端履门绿化带</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7CE30F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柏树林十字至东大街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4091DF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1360.05</w:t>
            </w:r>
          </w:p>
        </w:tc>
      </w:tr>
      <w:tr w14:paraId="230A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4C77358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71F9F6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端履门小广场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1E3D42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端履门</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2A55F4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751.37</w:t>
            </w:r>
          </w:p>
        </w:tc>
      </w:tr>
      <w:tr w14:paraId="367D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031A3AD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D270FB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小花坛</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898B44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三学街公厕南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624D86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106.14</w:t>
            </w:r>
          </w:p>
        </w:tc>
      </w:tr>
      <w:tr w14:paraId="4816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620709C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DDC5ED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和平路糖尿病医院</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671231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和平路糖尿病医院门前</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6CC9FA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81.99</w:t>
            </w:r>
          </w:p>
        </w:tc>
      </w:tr>
      <w:tr w14:paraId="6A24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6AF70A0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EF7164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和平路西五、六道巷间高台</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BA1C73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和平路南段西五、六道巷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C98755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406.01</w:t>
            </w:r>
          </w:p>
        </w:tc>
      </w:tr>
      <w:tr w14:paraId="4F18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27F597C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4A735A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建国六巷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6B7922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建国六巷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8843C0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4.81</w:t>
            </w:r>
          </w:p>
        </w:tc>
      </w:tr>
      <w:tr w14:paraId="4DE1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500EB8D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E6673E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信义巷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2AC2F2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信义巷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1394C9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69</w:t>
            </w:r>
          </w:p>
        </w:tc>
      </w:tr>
      <w:tr w14:paraId="79B2D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33532F2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07044B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建国一巷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554B80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建国一巷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6BA792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163.73</w:t>
            </w:r>
          </w:p>
        </w:tc>
      </w:tr>
      <w:tr w14:paraId="72A95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0BC03FD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43BBBB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东八道巷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EE0663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东八道巷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82253C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8.46</w:t>
            </w:r>
          </w:p>
        </w:tc>
      </w:tr>
      <w:tr w14:paraId="034FD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0AE47B9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D66F0D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玄风桥</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8B3B6E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玄风桥</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159C41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105.86</w:t>
            </w:r>
          </w:p>
        </w:tc>
      </w:tr>
      <w:tr w14:paraId="12F6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3FC73C4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20</w:t>
            </w:r>
          </w:p>
          <w:p w14:paraId="3FE99CB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34B86D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东仓门</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DF8A87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东仓门</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DC5BE5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48.19</w:t>
            </w:r>
          </w:p>
        </w:tc>
      </w:tr>
      <w:tr w14:paraId="36B2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301ADC9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56F777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东三道巷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5E6973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东三道巷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1D8DA8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13.12</w:t>
            </w:r>
          </w:p>
        </w:tc>
      </w:tr>
      <w:tr w14:paraId="6621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11069708">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B140E4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东四道巷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AD7D96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东四道巷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EED180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18.64</w:t>
            </w:r>
          </w:p>
        </w:tc>
      </w:tr>
      <w:tr w14:paraId="4A59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20E719D8">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85D148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东五道巷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B64CC7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东五道巷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912284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10.8</w:t>
            </w:r>
          </w:p>
        </w:tc>
      </w:tr>
      <w:tr w14:paraId="7D7C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5C02427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EF22C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东六道巷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ADC53F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东六道巷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4D3899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7.2</w:t>
            </w:r>
          </w:p>
        </w:tc>
      </w:tr>
      <w:tr w14:paraId="4E81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6A6264C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04AE25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东七道巷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241900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东七道巷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73D123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17.24</w:t>
            </w:r>
          </w:p>
        </w:tc>
      </w:tr>
      <w:tr w14:paraId="39C08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7F2548A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26</w:t>
            </w:r>
          </w:p>
          <w:p w14:paraId="64B3A5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5645E5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东九道巷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4EC3A9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东九道巷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4AB15D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18</w:t>
            </w:r>
          </w:p>
        </w:tc>
      </w:tr>
      <w:tr w14:paraId="4CB1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364784A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27</w:t>
            </w:r>
          </w:p>
          <w:p w14:paraId="6B75E6C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E32ECE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周家巷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FEDD9B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周家巷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FCD68B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82.8</w:t>
            </w:r>
          </w:p>
        </w:tc>
      </w:tr>
      <w:tr w14:paraId="6297F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10C49B1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BD440D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半截巷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02DA75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半截巷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ADD0F0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w:t>
            </w:r>
          </w:p>
        </w:tc>
      </w:tr>
      <w:tr w14:paraId="2F42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6D0BD44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2357E3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西二道巷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04239A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西二道巷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E2072D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63</w:t>
            </w:r>
          </w:p>
        </w:tc>
      </w:tr>
      <w:tr w14:paraId="4203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5FCE406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AF3F5A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马厂子</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6D0000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马厂子</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7DB826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24.6</w:t>
            </w:r>
          </w:p>
        </w:tc>
      </w:tr>
      <w:tr w14:paraId="14A94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519C0FC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225609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东羊市</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68DCCA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东羊市</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26A955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25.1</w:t>
            </w:r>
          </w:p>
        </w:tc>
      </w:tr>
      <w:tr w14:paraId="03621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3794C14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70A1A9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顺城东路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ACF049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顺城东路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18261F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272.51</w:t>
            </w:r>
          </w:p>
        </w:tc>
      </w:tr>
      <w:tr w14:paraId="4CEE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trPr>
        <w:tc>
          <w:tcPr>
            <w:tcW w:w="253" w:type="pct"/>
            <w:tcBorders>
              <w:top w:val="single" w:color="auto" w:sz="4" w:space="0"/>
              <w:left w:val="single" w:color="auto" w:sz="4" w:space="0"/>
              <w:bottom w:val="single" w:color="auto" w:sz="4" w:space="0"/>
              <w:right w:val="single" w:color="auto" w:sz="4" w:space="0"/>
            </w:tcBorders>
            <w:noWrap w:val="0"/>
            <w:vAlign w:val="center"/>
          </w:tcPr>
          <w:p w14:paraId="77BAF7F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6DC344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04FB1E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建国路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4D089E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85.54</w:t>
            </w:r>
          </w:p>
        </w:tc>
      </w:tr>
      <w:tr w14:paraId="5D36A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exact"/>
        </w:trPr>
        <w:tc>
          <w:tcPr>
            <w:tcW w:w="253" w:type="pct"/>
            <w:tcBorders>
              <w:top w:val="single" w:color="auto" w:sz="4" w:space="0"/>
              <w:left w:val="single" w:color="auto" w:sz="4" w:space="0"/>
              <w:bottom w:val="single" w:color="auto" w:sz="4" w:space="0"/>
              <w:right w:val="single" w:color="auto" w:sz="4" w:space="0"/>
            </w:tcBorders>
            <w:noWrap w:val="0"/>
            <w:vAlign w:val="top"/>
          </w:tcPr>
          <w:p w14:paraId="18C91F54">
            <w:pPr>
              <w:kinsoku/>
              <w:autoSpaceDE/>
              <w:autoSpaceDN/>
              <w:adjustRightInd/>
              <w:snapToGrid/>
              <w:spacing w:line="540" w:lineRule="exact"/>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合计</w:t>
            </w:r>
          </w:p>
        </w:tc>
        <w:tc>
          <w:tcPr>
            <w:tcW w:w="1657" w:type="pct"/>
            <w:tcBorders>
              <w:top w:val="single" w:color="auto" w:sz="4" w:space="0"/>
              <w:left w:val="single" w:color="auto" w:sz="4" w:space="0"/>
              <w:bottom w:val="single" w:color="auto" w:sz="4" w:space="0"/>
              <w:right w:val="single" w:color="auto" w:sz="4" w:space="0"/>
            </w:tcBorders>
            <w:noWrap w:val="0"/>
            <w:vAlign w:val="top"/>
          </w:tcPr>
          <w:p w14:paraId="25B741FB">
            <w:pPr>
              <w:kinsoku/>
              <w:autoSpaceDE/>
              <w:autoSpaceDN/>
              <w:adjustRightInd/>
              <w:snapToGrid/>
              <w:spacing w:line="540" w:lineRule="exact"/>
              <w:jc w:val="center"/>
              <w:textAlignment w:val="auto"/>
              <w:rPr>
                <w:rFonts w:hint="eastAsia" w:ascii="仿宋_GB2312" w:hAnsi="仿宋_GB2312" w:eastAsia="仿宋_GB2312" w:cs="仿宋_GB2312"/>
                <w:snapToGrid/>
                <w:sz w:val="21"/>
                <w:szCs w:val="21"/>
                <w:lang w:eastAsia="zh-CN"/>
              </w:rPr>
            </w:pPr>
          </w:p>
        </w:tc>
        <w:tc>
          <w:tcPr>
            <w:tcW w:w="2126" w:type="pct"/>
            <w:tcBorders>
              <w:top w:val="single" w:color="auto" w:sz="4" w:space="0"/>
              <w:left w:val="single" w:color="auto" w:sz="4" w:space="0"/>
              <w:bottom w:val="single" w:color="auto" w:sz="4" w:space="0"/>
              <w:right w:val="single" w:color="auto" w:sz="4" w:space="0"/>
            </w:tcBorders>
            <w:noWrap w:val="0"/>
            <w:vAlign w:val="top"/>
          </w:tcPr>
          <w:p w14:paraId="5449001D">
            <w:pPr>
              <w:kinsoku/>
              <w:autoSpaceDE/>
              <w:autoSpaceDN/>
              <w:adjustRightInd/>
              <w:snapToGrid/>
              <w:spacing w:line="540" w:lineRule="exact"/>
              <w:jc w:val="center"/>
              <w:textAlignment w:val="auto"/>
              <w:rPr>
                <w:rFonts w:hint="eastAsia" w:ascii="仿宋_GB2312" w:hAnsi="仿宋_GB2312" w:eastAsia="仿宋_GB2312" w:cs="仿宋_GB2312"/>
                <w:snapToGrid/>
                <w:sz w:val="21"/>
                <w:szCs w:val="21"/>
                <w:lang w:eastAsia="zh-CN"/>
              </w:rPr>
            </w:pPr>
          </w:p>
        </w:tc>
        <w:tc>
          <w:tcPr>
            <w:tcW w:w="961" w:type="pct"/>
            <w:tcBorders>
              <w:top w:val="single" w:color="auto" w:sz="4" w:space="0"/>
              <w:left w:val="single" w:color="auto" w:sz="4" w:space="0"/>
              <w:bottom w:val="single" w:color="auto" w:sz="4" w:space="0"/>
              <w:right w:val="single" w:color="auto" w:sz="4" w:space="0"/>
            </w:tcBorders>
            <w:noWrap w:val="0"/>
            <w:vAlign w:val="center"/>
          </w:tcPr>
          <w:p w14:paraId="62751B0F">
            <w:pPr>
              <w:kinsoku/>
              <w:autoSpaceDE/>
              <w:autoSpaceDN/>
              <w:adjustRightInd/>
              <w:snapToGrid/>
              <w:jc w:val="center"/>
              <w:textAlignment w:val="center"/>
              <w:rPr>
                <w:rFonts w:hint="eastAsia" w:ascii="仿宋_GB2312" w:hAnsi="仿宋_GB2312" w:eastAsia="仿宋_GB2312" w:cs="仿宋_GB2312"/>
                <w:b/>
                <w:bCs/>
                <w:snapToGrid/>
                <w:sz w:val="21"/>
                <w:szCs w:val="21"/>
                <w:lang w:val="en-US" w:eastAsia="zh-CN"/>
              </w:rPr>
            </w:pPr>
            <w:r>
              <w:rPr>
                <w:rFonts w:hint="eastAsia" w:ascii="仿宋_GB2312" w:hAnsi="仿宋_GB2312" w:eastAsia="仿宋_GB2312" w:cs="仿宋_GB2312"/>
                <w:b/>
                <w:bCs/>
                <w:snapToGrid/>
                <w:sz w:val="21"/>
                <w:szCs w:val="21"/>
                <w:lang w:val="en-US" w:eastAsia="zh-CN"/>
              </w:rPr>
              <w:t>8624.38</w:t>
            </w:r>
          </w:p>
        </w:tc>
      </w:tr>
    </w:tbl>
    <w:p w14:paraId="3A36210D">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p>
    <w:p w14:paraId="3A35D9A6">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p>
    <w:p w14:paraId="0687A235">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p>
    <w:p w14:paraId="218E1D1F">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南院门街办街头绿地广场明细表</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2801"/>
        <w:gridCol w:w="3624"/>
        <w:gridCol w:w="1639"/>
      </w:tblGrid>
      <w:tr w14:paraId="08409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 w:type="pct"/>
            <w:noWrap w:val="0"/>
            <w:vAlign w:val="center"/>
          </w:tcPr>
          <w:p w14:paraId="29C2465A">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序号</w:t>
            </w:r>
          </w:p>
        </w:tc>
        <w:tc>
          <w:tcPr>
            <w:tcW w:w="1643" w:type="pct"/>
            <w:noWrap w:val="0"/>
            <w:vAlign w:val="center"/>
          </w:tcPr>
          <w:p w14:paraId="5B5AE226">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名称</w:t>
            </w:r>
          </w:p>
        </w:tc>
        <w:tc>
          <w:tcPr>
            <w:tcW w:w="2126" w:type="pct"/>
            <w:noWrap w:val="0"/>
            <w:vAlign w:val="center"/>
          </w:tcPr>
          <w:p w14:paraId="7D140D72">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地址</w:t>
            </w:r>
          </w:p>
        </w:tc>
        <w:tc>
          <w:tcPr>
            <w:tcW w:w="961" w:type="pct"/>
            <w:noWrap w:val="0"/>
            <w:vAlign w:val="center"/>
          </w:tcPr>
          <w:p w14:paraId="4079C93A">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规模㎡</w:t>
            </w:r>
          </w:p>
        </w:tc>
      </w:tr>
      <w:tr w14:paraId="01257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67" w:type="pct"/>
            <w:noWrap w:val="0"/>
            <w:vAlign w:val="center"/>
          </w:tcPr>
          <w:p w14:paraId="4412D16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w:t>
            </w:r>
          </w:p>
        </w:tc>
        <w:tc>
          <w:tcPr>
            <w:tcW w:w="1643" w:type="pct"/>
            <w:noWrap w:val="0"/>
            <w:vAlign w:val="center"/>
          </w:tcPr>
          <w:p w14:paraId="0D465FA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王子大厦广场</w:t>
            </w:r>
          </w:p>
        </w:tc>
        <w:tc>
          <w:tcPr>
            <w:tcW w:w="2126" w:type="pct"/>
            <w:noWrap w:val="0"/>
            <w:vAlign w:val="center"/>
          </w:tcPr>
          <w:p w14:paraId="48814AF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王子大厦西边（竹笆市口）</w:t>
            </w:r>
          </w:p>
        </w:tc>
        <w:tc>
          <w:tcPr>
            <w:tcW w:w="961" w:type="pct"/>
            <w:noWrap w:val="0"/>
            <w:vAlign w:val="center"/>
          </w:tcPr>
          <w:p w14:paraId="0EA2FAB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1526.68</w:t>
            </w:r>
          </w:p>
        </w:tc>
      </w:tr>
      <w:tr w14:paraId="5C5C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67" w:type="pct"/>
            <w:noWrap w:val="0"/>
            <w:vAlign w:val="center"/>
          </w:tcPr>
          <w:p w14:paraId="6F950BD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w:t>
            </w:r>
          </w:p>
        </w:tc>
        <w:tc>
          <w:tcPr>
            <w:tcW w:w="1643" w:type="pct"/>
            <w:noWrap w:val="0"/>
            <w:vAlign w:val="center"/>
          </w:tcPr>
          <w:p w14:paraId="76D0052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南门内西侧花坛</w:t>
            </w:r>
          </w:p>
        </w:tc>
        <w:tc>
          <w:tcPr>
            <w:tcW w:w="2126" w:type="pct"/>
            <w:noWrap w:val="0"/>
            <w:vAlign w:val="center"/>
          </w:tcPr>
          <w:p w14:paraId="7ACA567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水电设计院有色金属门前</w:t>
            </w:r>
          </w:p>
        </w:tc>
        <w:tc>
          <w:tcPr>
            <w:tcW w:w="961" w:type="pct"/>
            <w:noWrap w:val="0"/>
            <w:vAlign w:val="center"/>
          </w:tcPr>
          <w:p w14:paraId="1271EC2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742.68</w:t>
            </w:r>
          </w:p>
        </w:tc>
      </w:tr>
      <w:tr w14:paraId="6B38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67" w:type="pct"/>
            <w:noWrap w:val="0"/>
            <w:vAlign w:val="center"/>
          </w:tcPr>
          <w:p w14:paraId="57BA2DB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w:t>
            </w:r>
          </w:p>
        </w:tc>
        <w:tc>
          <w:tcPr>
            <w:tcW w:w="1643" w:type="pct"/>
            <w:noWrap w:val="0"/>
            <w:vAlign w:val="center"/>
          </w:tcPr>
          <w:p w14:paraId="756A26E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南门内东侧花坛</w:t>
            </w:r>
          </w:p>
        </w:tc>
        <w:tc>
          <w:tcPr>
            <w:tcW w:w="2126" w:type="pct"/>
            <w:noWrap w:val="0"/>
            <w:vAlign w:val="center"/>
          </w:tcPr>
          <w:p w14:paraId="0ECC484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宝庆寺塔</w:t>
            </w:r>
          </w:p>
        </w:tc>
        <w:tc>
          <w:tcPr>
            <w:tcW w:w="961" w:type="pct"/>
            <w:noWrap w:val="0"/>
            <w:vAlign w:val="center"/>
          </w:tcPr>
          <w:p w14:paraId="661FE7F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913.21</w:t>
            </w:r>
          </w:p>
        </w:tc>
      </w:tr>
      <w:tr w14:paraId="71F4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67" w:type="pct"/>
            <w:noWrap w:val="0"/>
            <w:vAlign w:val="center"/>
          </w:tcPr>
          <w:p w14:paraId="325B75D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w:t>
            </w:r>
          </w:p>
        </w:tc>
        <w:tc>
          <w:tcPr>
            <w:tcW w:w="1643" w:type="pct"/>
            <w:noWrap w:val="0"/>
            <w:vAlign w:val="center"/>
          </w:tcPr>
          <w:p w14:paraId="07281F0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老市委门前广场</w:t>
            </w:r>
          </w:p>
        </w:tc>
        <w:tc>
          <w:tcPr>
            <w:tcW w:w="2126" w:type="pct"/>
            <w:noWrap w:val="0"/>
            <w:vAlign w:val="center"/>
          </w:tcPr>
          <w:p w14:paraId="13C5742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粉巷老市委门前</w:t>
            </w:r>
          </w:p>
        </w:tc>
        <w:tc>
          <w:tcPr>
            <w:tcW w:w="961" w:type="pct"/>
            <w:noWrap w:val="0"/>
            <w:vAlign w:val="center"/>
          </w:tcPr>
          <w:p w14:paraId="143A55E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1339.28</w:t>
            </w:r>
          </w:p>
        </w:tc>
      </w:tr>
      <w:tr w14:paraId="28987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67" w:type="pct"/>
            <w:noWrap w:val="0"/>
            <w:vAlign w:val="center"/>
          </w:tcPr>
          <w:p w14:paraId="4049610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w:t>
            </w:r>
          </w:p>
        </w:tc>
        <w:tc>
          <w:tcPr>
            <w:tcW w:w="1643" w:type="pct"/>
            <w:noWrap w:val="0"/>
            <w:vAlign w:val="center"/>
          </w:tcPr>
          <w:p w14:paraId="71BD02D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书院门口广场</w:t>
            </w:r>
          </w:p>
        </w:tc>
        <w:tc>
          <w:tcPr>
            <w:tcW w:w="2126" w:type="pct"/>
            <w:noWrap w:val="0"/>
            <w:vAlign w:val="center"/>
          </w:tcPr>
          <w:p w14:paraId="0967104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宝庆寺塔下</w:t>
            </w:r>
          </w:p>
        </w:tc>
        <w:tc>
          <w:tcPr>
            <w:tcW w:w="961" w:type="pct"/>
            <w:noWrap w:val="0"/>
            <w:vAlign w:val="center"/>
          </w:tcPr>
          <w:p w14:paraId="34D2DB8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378.97</w:t>
            </w:r>
          </w:p>
        </w:tc>
      </w:tr>
      <w:tr w14:paraId="5F0F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67" w:type="pct"/>
            <w:noWrap w:val="0"/>
            <w:vAlign w:val="center"/>
          </w:tcPr>
          <w:p w14:paraId="1233AFB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w:t>
            </w:r>
          </w:p>
        </w:tc>
        <w:tc>
          <w:tcPr>
            <w:tcW w:w="1643" w:type="pct"/>
            <w:noWrap w:val="0"/>
            <w:vAlign w:val="center"/>
          </w:tcPr>
          <w:p w14:paraId="31C89A2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广济街绿化带</w:t>
            </w:r>
          </w:p>
        </w:tc>
        <w:tc>
          <w:tcPr>
            <w:tcW w:w="2126" w:type="pct"/>
            <w:noWrap w:val="0"/>
            <w:vAlign w:val="center"/>
          </w:tcPr>
          <w:p w14:paraId="1BC7FB1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朱雀门至西大街</w:t>
            </w:r>
          </w:p>
        </w:tc>
        <w:tc>
          <w:tcPr>
            <w:tcW w:w="961" w:type="pct"/>
            <w:noWrap w:val="0"/>
            <w:vAlign w:val="center"/>
          </w:tcPr>
          <w:p w14:paraId="2D7D401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1569.86</w:t>
            </w:r>
          </w:p>
        </w:tc>
      </w:tr>
      <w:tr w14:paraId="4EAC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67" w:type="pct"/>
            <w:noWrap w:val="0"/>
            <w:vAlign w:val="center"/>
          </w:tcPr>
          <w:p w14:paraId="76C3FAD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7</w:t>
            </w:r>
          </w:p>
        </w:tc>
        <w:tc>
          <w:tcPr>
            <w:tcW w:w="1643" w:type="pct"/>
            <w:noWrap w:val="0"/>
            <w:vAlign w:val="center"/>
          </w:tcPr>
          <w:p w14:paraId="6E31337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西木头市</w:t>
            </w:r>
          </w:p>
        </w:tc>
        <w:tc>
          <w:tcPr>
            <w:tcW w:w="2126" w:type="pct"/>
            <w:noWrap w:val="0"/>
            <w:vAlign w:val="center"/>
          </w:tcPr>
          <w:p w14:paraId="4956005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西木头市</w:t>
            </w:r>
          </w:p>
        </w:tc>
        <w:tc>
          <w:tcPr>
            <w:tcW w:w="961" w:type="pct"/>
            <w:noWrap w:val="0"/>
            <w:vAlign w:val="center"/>
          </w:tcPr>
          <w:p w14:paraId="1DB4D6D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60.35</w:t>
            </w:r>
          </w:p>
        </w:tc>
      </w:tr>
      <w:tr w14:paraId="75E8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67" w:type="pct"/>
            <w:noWrap w:val="0"/>
            <w:vAlign w:val="center"/>
          </w:tcPr>
          <w:p w14:paraId="0F7942FD">
            <w:pPr>
              <w:kinsoku/>
              <w:autoSpaceDE/>
              <w:autoSpaceDN/>
              <w:adjustRightInd/>
              <w:snapToGrid/>
              <w:spacing w:line="600" w:lineRule="exact"/>
              <w:jc w:val="both"/>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合计</w:t>
            </w:r>
          </w:p>
        </w:tc>
        <w:tc>
          <w:tcPr>
            <w:tcW w:w="1643" w:type="pct"/>
            <w:noWrap w:val="0"/>
            <w:vAlign w:val="top"/>
          </w:tcPr>
          <w:p w14:paraId="7FE78DA0">
            <w:pPr>
              <w:kinsoku/>
              <w:autoSpaceDE/>
              <w:autoSpaceDN/>
              <w:adjustRightInd/>
              <w:snapToGrid/>
              <w:spacing w:line="600" w:lineRule="exact"/>
              <w:jc w:val="center"/>
              <w:textAlignment w:val="auto"/>
              <w:rPr>
                <w:rFonts w:hint="eastAsia" w:ascii="仿宋_GB2312" w:hAnsi="仿宋_GB2312" w:eastAsia="仿宋_GB2312" w:cs="仿宋_GB2312"/>
                <w:snapToGrid/>
                <w:color w:val="FF0000"/>
                <w:sz w:val="21"/>
                <w:szCs w:val="21"/>
                <w:lang w:eastAsia="zh-CN"/>
              </w:rPr>
            </w:pPr>
          </w:p>
        </w:tc>
        <w:tc>
          <w:tcPr>
            <w:tcW w:w="2126" w:type="pct"/>
            <w:noWrap w:val="0"/>
            <w:vAlign w:val="top"/>
          </w:tcPr>
          <w:p w14:paraId="09A57929">
            <w:pPr>
              <w:kinsoku/>
              <w:autoSpaceDE/>
              <w:autoSpaceDN/>
              <w:adjustRightInd/>
              <w:snapToGrid/>
              <w:spacing w:line="600" w:lineRule="exact"/>
              <w:jc w:val="center"/>
              <w:textAlignment w:val="auto"/>
              <w:rPr>
                <w:rFonts w:hint="eastAsia" w:ascii="仿宋_GB2312" w:hAnsi="仿宋_GB2312" w:eastAsia="仿宋_GB2312" w:cs="仿宋_GB2312"/>
                <w:snapToGrid/>
                <w:color w:val="FF0000"/>
                <w:sz w:val="21"/>
                <w:szCs w:val="21"/>
                <w:lang w:eastAsia="zh-CN"/>
              </w:rPr>
            </w:pPr>
          </w:p>
        </w:tc>
        <w:tc>
          <w:tcPr>
            <w:tcW w:w="961" w:type="pct"/>
            <w:noWrap w:val="0"/>
            <w:vAlign w:val="center"/>
          </w:tcPr>
          <w:p w14:paraId="4950C6D8">
            <w:pPr>
              <w:kinsoku/>
              <w:autoSpaceDE/>
              <w:autoSpaceDN/>
              <w:adjustRightInd/>
              <w:snapToGrid/>
              <w:spacing w:line="600" w:lineRule="exact"/>
              <w:jc w:val="center"/>
              <w:textAlignment w:val="auto"/>
              <w:rPr>
                <w:rFonts w:hint="eastAsia" w:ascii="仿宋_GB2312" w:hAnsi="仿宋_GB2312" w:eastAsia="仿宋_GB2312" w:cs="仿宋_GB2312"/>
                <w:snapToGrid/>
                <w:color w:val="FF0000"/>
                <w:sz w:val="21"/>
                <w:szCs w:val="21"/>
                <w:lang w:val="en-US" w:eastAsia="zh-CN"/>
              </w:rPr>
            </w:pPr>
            <w:r>
              <w:rPr>
                <w:rFonts w:hint="eastAsia" w:ascii="仿宋_GB2312" w:hAnsi="仿宋_GB2312" w:eastAsia="仿宋_GB2312" w:cs="仿宋_GB2312"/>
                <w:b/>
                <w:bCs/>
                <w:snapToGrid/>
                <w:sz w:val="21"/>
                <w:szCs w:val="21"/>
                <w:lang w:val="en-US" w:eastAsia="zh-CN"/>
              </w:rPr>
              <w:t>6531.03</w:t>
            </w:r>
          </w:p>
        </w:tc>
      </w:tr>
    </w:tbl>
    <w:p w14:paraId="023FB4B4">
      <w:pPr>
        <w:kinsoku/>
        <w:autoSpaceDE/>
        <w:autoSpaceDN/>
        <w:adjustRightInd/>
        <w:snapToGrid/>
        <w:spacing w:afterLines="50"/>
        <w:jc w:val="both"/>
        <w:textAlignment w:val="auto"/>
        <w:rPr>
          <w:rFonts w:hint="eastAsia" w:ascii="仿宋_GB2312" w:hAnsi="仿宋_GB2312" w:eastAsia="仿宋_GB2312" w:cs="仿宋_GB2312"/>
          <w:snapToGrid/>
          <w:sz w:val="21"/>
          <w:szCs w:val="21"/>
          <w:lang w:eastAsia="zh-CN"/>
        </w:rPr>
      </w:pPr>
    </w:p>
    <w:p w14:paraId="4FA92CB2">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br w:type="page"/>
      </w:r>
      <w:r>
        <w:rPr>
          <w:rFonts w:hint="eastAsia" w:ascii="仿宋_GB2312" w:hAnsi="仿宋_GB2312" w:eastAsia="仿宋_GB2312" w:cs="仿宋_GB2312"/>
          <w:snapToGrid/>
          <w:sz w:val="21"/>
          <w:szCs w:val="21"/>
          <w:lang w:eastAsia="zh-CN"/>
        </w:rPr>
        <w:t>太乙路街办街头绿地广场明细表</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
        <w:gridCol w:w="2824"/>
        <w:gridCol w:w="3625"/>
        <w:gridCol w:w="1638"/>
      </w:tblGrid>
      <w:tr w14:paraId="6EF1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1F237A5">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序号</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2862628">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名称</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407B1BF1">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地址</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08C1C11">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规模㎡</w:t>
            </w:r>
          </w:p>
        </w:tc>
      </w:tr>
      <w:tr w14:paraId="0C3F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6134A5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E2B864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经九路广场（南）</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4CAAC88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经九路东侧南二环至化工南巷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57E557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5</w:t>
            </w:r>
            <w:r>
              <w:rPr>
                <w:rFonts w:hint="eastAsia" w:ascii="仿宋_GB2312" w:hAnsi="仿宋_GB2312" w:eastAsia="仿宋_GB2312" w:cs="仿宋_GB2312"/>
                <w:b w:val="0"/>
                <w:bCs w:val="0"/>
                <w:snapToGrid/>
                <w:sz w:val="21"/>
                <w:szCs w:val="21"/>
                <w:lang w:val="en-US" w:eastAsia="zh-CN"/>
              </w:rPr>
              <w:t>345.1</w:t>
            </w:r>
          </w:p>
        </w:tc>
      </w:tr>
      <w:tr w14:paraId="5CAC8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E39A42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FA201A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经九路广场（北）</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59B63CB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化工南巷至友谊路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D9FEFD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5207.56</w:t>
            </w:r>
          </w:p>
        </w:tc>
      </w:tr>
      <w:tr w14:paraId="32B3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8C0DCA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421A96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玫瑰园广场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23C896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太乙路立交东南角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014F7C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1252.74</w:t>
            </w:r>
          </w:p>
        </w:tc>
      </w:tr>
      <w:tr w14:paraId="1E9B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F85569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6BA98F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大拆中心北侧小广场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E9CE31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太乙路立交东南角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50BA39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790</w:t>
            </w:r>
          </w:p>
        </w:tc>
      </w:tr>
      <w:tr w14:paraId="55DD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4CA6FD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28E374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西延路隔车带</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65514F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西延路与青龙路十字东北角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AB5681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36.27</w:t>
            </w:r>
          </w:p>
        </w:tc>
      </w:tr>
      <w:tr w14:paraId="7AEC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CF22BE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59642F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咸宁路广场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2496ED3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咸宁路与兴庆路十字东南角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6B028D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52.49</w:t>
            </w:r>
          </w:p>
        </w:tc>
      </w:tr>
      <w:tr w14:paraId="5243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BE5F7B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CC51BE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铁路局广场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C57849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友谊东路铁路局家属院围墙外</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AADA7C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358.21</w:t>
            </w:r>
          </w:p>
        </w:tc>
      </w:tr>
      <w:tr w14:paraId="63048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6EBE30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598D56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兴庆南路广场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55F0996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兴庆南路西侧高台</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FDFAF4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2547.40</w:t>
            </w:r>
          </w:p>
        </w:tc>
      </w:tr>
      <w:tr w14:paraId="2B1E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1A167C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9B05BF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太乙路广场（东）</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676769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太乙路与建东街十字东北角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C1AEBD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117.00</w:t>
            </w:r>
          </w:p>
        </w:tc>
      </w:tr>
      <w:tr w14:paraId="5D9D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52BADE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F08A26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太乙路广场（西）</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CE5C65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太乙路与建东街十字西北角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CFE7AD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114.83</w:t>
            </w:r>
          </w:p>
        </w:tc>
      </w:tr>
      <w:tr w14:paraId="287B8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1DF631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CC5019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郦景豪庭广场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65D347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环东路与环南路十字东南角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98891B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530.24</w:t>
            </w:r>
          </w:p>
        </w:tc>
      </w:tr>
      <w:tr w14:paraId="7824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B5D2E7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845483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经九路西南角广场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5723B4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铁路局家属区门前</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92D91A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342.4</w:t>
            </w:r>
          </w:p>
        </w:tc>
      </w:tr>
      <w:tr w14:paraId="0F85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5B6146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1ABD1F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北沙坡广场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763152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兴庆南路道路南</w:t>
            </w:r>
            <w:r>
              <w:rPr>
                <w:rFonts w:hint="eastAsia" w:ascii="仿宋_GB2312" w:hAnsi="仿宋_GB2312" w:eastAsia="仿宋_GB2312" w:cs="仿宋_GB2312"/>
                <w:b w:val="0"/>
                <w:bCs w:val="0"/>
                <w:snapToGrid/>
                <w:sz w:val="21"/>
                <w:szCs w:val="21"/>
                <w:lang w:val="en-US" w:eastAsia="zh-CN"/>
              </w:rPr>
              <w:t>/北侧</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960351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1100.52</w:t>
            </w:r>
          </w:p>
        </w:tc>
      </w:tr>
      <w:tr w14:paraId="6A580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7FEBB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909A87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安西街广场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D62C47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安西街与太安街丁字路口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C63D31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137.60</w:t>
            </w:r>
          </w:p>
        </w:tc>
      </w:tr>
      <w:tr w14:paraId="35D5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BAFDE9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E31FDB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路易酒店广场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495521D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经九路与友谊路什字西北角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E62292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243.74</w:t>
            </w:r>
          </w:p>
        </w:tc>
      </w:tr>
      <w:tr w14:paraId="42BA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892257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EA3C95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经九路南口广场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53B87B2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经九路与南二环东北角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5452A3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280.26</w:t>
            </w:r>
          </w:p>
        </w:tc>
      </w:tr>
      <w:tr w14:paraId="0752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96B5AD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0855D9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乐南路广场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463396E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乐南路南口路西</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2F9105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137.85</w:t>
            </w:r>
          </w:p>
        </w:tc>
      </w:tr>
      <w:tr w14:paraId="77B0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B9F6C7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026205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兴庆路绿化带</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779862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咸宁路十字至友谊路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063327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2881.67</w:t>
            </w:r>
          </w:p>
        </w:tc>
      </w:tr>
      <w:tr w14:paraId="0F2C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A7E14A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F145DF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友谊东路绿化带</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9E99F9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安西街南口至友谊东路东口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2A6379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11707.50</w:t>
            </w:r>
          </w:p>
        </w:tc>
      </w:tr>
      <w:tr w14:paraId="7792E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DB016B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881F5B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乐居场广场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FF480D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乐居场A4区建东街延伸段</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ACEBB3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470.95</w:t>
            </w:r>
          </w:p>
        </w:tc>
      </w:tr>
      <w:tr w14:paraId="1159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51F4C6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410A6E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学府首座广场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4ACE0A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北沙坡与兴庆路东南角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774FED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173.51</w:t>
            </w:r>
          </w:p>
        </w:tc>
      </w:tr>
      <w:tr w14:paraId="24DF7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F6ED36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E41A68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经九北路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555434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咸宁路—友谊路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D9B175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3158.91</w:t>
            </w:r>
          </w:p>
        </w:tc>
      </w:tr>
      <w:tr w14:paraId="5F4F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D3CDA9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D576F0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东开发区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139F49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东开发区火炬路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89C084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6637.82</w:t>
            </w:r>
          </w:p>
        </w:tc>
      </w:tr>
      <w:tr w14:paraId="226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BE844A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FEE12E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经九路南段绿地小广场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51717A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经九路南段路西小广场</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C2B704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363.01</w:t>
            </w:r>
          </w:p>
        </w:tc>
      </w:tr>
      <w:tr w14:paraId="27F74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43F6D8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6A6C32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交大南门广场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42E630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友谊东路西安交通大学南门西侧</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AA326A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1321.55</w:t>
            </w:r>
          </w:p>
        </w:tc>
      </w:tr>
      <w:tr w14:paraId="2DE10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D11F0D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5F08E4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标新街</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E6512D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标新街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FE9301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833.02</w:t>
            </w:r>
          </w:p>
        </w:tc>
      </w:tr>
      <w:tr w14:paraId="09630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04BC6E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817B8B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乐居场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553487C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乐居场</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E171BD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538.14</w:t>
            </w:r>
          </w:p>
        </w:tc>
      </w:tr>
      <w:tr w14:paraId="1EF8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7D4E0F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D66699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北沙坡路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7E8BAF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东二环至兴庆路路口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A79B26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453.74</w:t>
            </w:r>
          </w:p>
        </w:tc>
      </w:tr>
      <w:tr w14:paraId="1205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3D024E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DA462D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金水路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292EAA3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金水路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208AF5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12.18</w:t>
            </w:r>
          </w:p>
        </w:tc>
      </w:tr>
      <w:tr w14:paraId="06328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48A549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1F4FF5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化工南路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585D527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化工南路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36EC2F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4.94</w:t>
            </w:r>
          </w:p>
        </w:tc>
      </w:tr>
      <w:tr w14:paraId="0506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B509CC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993A7A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鲁家村</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38CEEEC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鲁家村</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69499C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431.8</w:t>
            </w:r>
          </w:p>
        </w:tc>
      </w:tr>
      <w:tr w14:paraId="59EC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8EB97C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B322BF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延兴门广场（延兴门地铁站B口）</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55C2DB7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延兴门广场（延兴门地铁站B口）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00694B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3197.1</w:t>
            </w:r>
          </w:p>
        </w:tc>
      </w:tr>
      <w:tr w14:paraId="56881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6D43EC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BFDF89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兴庆绿岛（南二环雁翔路以北，兴庆路十字与友谊路口以南，交大南洋大酒店以西，友谊路以东）</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14822C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兴庆绿岛（南二环雁翔路以北，兴庆路十字与友谊路口以南，交大南洋大酒店以西，友谊路以东）</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13B85A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9552.69</w:t>
            </w:r>
          </w:p>
        </w:tc>
      </w:tr>
      <w:tr w14:paraId="3F04D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3E1A8D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37D62F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东开发区街心花园</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4F3662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东开发区街心花园</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1E13E4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8508.66</w:t>
            </w:r>
          </w:p>
        </w:tc>
      </w:tr>
      <w:tr w14:paraId="7B55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D214DB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15EBF6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安东街</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2BA4BE7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安东街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77EEE1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33.4</w:t>
            </w:r>
          </w:p>
          <w:p w14:paraId="502A731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p>
        </w:tc>
      </w:tr>
      <w:tr w14:paraId="0C551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432E39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6A3685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安西街</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D49D5A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安西街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3CBC53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6.73</w:t>
            </w:r>
          </w:p>
        </w:tc>
      </w:tr>
      <w:tr w14:paraId="24CF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5752D8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97C72E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延兴路花箱</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2EBE6A9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延兴路西口（东二环口）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939D46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48.12</w:t>
            </w:r>
          </w:p>
        </w:tc>
      </w:tr>
      <w:tr w14:paraId="2B397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0C94CE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2A17B5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延兴路东口</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FA32CC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延兴路东口（火炬路）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427E8C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45.3</w:t>
            </w:r>
          </w:p>
        </w:tc>
      </w:tr>
      <w:tr w14:paraId="5B9E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96B280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DE4DFA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星光路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01A218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星光路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221434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543.47</w:t>
            </w:r>
          </w:p>
        </w:tc>
      </w:tr>
      <w:tr w14:paraId="7479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14665C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13EA2A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皇甫路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429E30B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皇甫路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4EE2DC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136.22</w:t>
            </w:r>
          </w:p>
        </w:tc>
      </w:tr>
      <w:tr w14:paraId="3F3A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24623D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7FCE3A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交大街</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48CDB94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交大街与北沙坡路十字南北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49A502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159.64</w:t>
            </w:r>
          </w:p>
        </w:tc>
      </w:tr>
      <w:tr w14:paraId="5578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A5C1048">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99EBAE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延兴门广场（延兴门地铁站</w:t>
            </w:r>
            <w:r>
              <w:rPr>
                <w:rFonts w:hint="eastAsia" w:ascii="仿宋_GB2312" w:hAnsi="仿宋_GB2312" w:eastAsia="仿宋_GB2312" w:cs="仿宋_GB2312"/>
                <w:b w:val="0"/>
                <w:bCs w:val="0"/>
                <w:snapToGrid/>
                <w:sz w:val="21"/>
                <w:szCs w:val="21"/>
                <w:lang w:val="en-US" w:eastAsia="zh-CN"/>
              </w:rPr>
              <w:t>D</w:t>
            </w:r>
            <w:r>
              <w:rPr>
                <w:rFonts w:hint="eastAsia" w:ascii="仿宋_GB2312" w:hAnsi="仿宋_GB2312" w:eastAsia="仿宋_GB2312" w:cs="仿宋_GB2312"/>
                <w:b w:val="0"/>
                <w:bCs w:val="0"/>
                <w:snapToGrid/>
                <w:sz w:val="21"/>
                <w:szCs w:val="21"/>
                <w:lang w:eastAsia="zh-CN"/>
              </w:rPr>
              <w:t>口）</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0C6EBE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延兴门广场（延兴门地铁站</w:t>
            </w:r>
            <w:r>
              <w:rPr>
                <w:rFonts w:hint="eastAsia" w:ascii="仿宋_GB2312" w:hAnsi="仿宋_GB2312" w:eastAsia="仿宋_GB2312" w:cs="仿宋_GB2312"/>
                <w:b w:val="0"/>
                <w:bCs w:val="0"/>
                <w:snapToGrid/>
                <w:sz w:val="21"/>
                <w:szCs w:val="21"/>
                <w:lang w:val="en-US" w:eastAsia="zh-CN"/>
              </w:rPr>
              <w:t>D</w:t>
            </w:r>
            <w:r>
              <w:rPr>
                <w:rFonts w:hint="eastAsia" w:ascii="仿宋_GB2312" w:hAnsi="仿宋_GB2312" w:eastAsia="仿宋_GB2312" w:cs="仿宋_GB2312"/>
                <w:b w:val="0"/>
                <w:bCs w:val="0"/>
                <w:snapToGrid/>
                <w:sz w:val="21"/>
                <w:szCs w:val="21"/>
                <w:lang w:eastAsia="zh-CN"/>
              </w:rPr>
              <w:t>口北侧）</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685D77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1079.78</w:t>
            </w:r>
          </w:p>
        </w:tc>
      </w:tr>
      <w:tr w14:paraId="6F9BC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77D3F9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F80405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新红锋集团</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AC0B02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乐居场与友谊路口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92838D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328.77</w:t>
            </w:r>
          </w:p>
        </w:tc>
      </w:tr>
      <w:tr w14:paraId="6521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AC8DB2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C9C55F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青龙路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8E780E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铁路新村南口西侧</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16E930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1143.2</w:t>
            </w:r>
          </w:p>
        </w:tc>
      </w:tr>
      <w:tr w14:paraId="12B6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A82C05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7A270D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兴庆绿岛垃圾压缩站</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9DCEF4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兴庆绿岛垃圾压缩站</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D7BC22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3500</w:t>
            </w:r>
          </w:p>
        </w:tc>
      </w:tr>
      <w:tr w14:paraId="26D9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8AF9778">
            <w:pPr>
              <w:kinsoku/>
              <w:autoSpaceDE/>
              <w:autoSpaceDN/>
              <w:adjustRightInd/>
              <w:snapToGrid/>
              <w:spacing w:line="560" w:lineRule="exact"/>
              <w:jc w:val="center"/>
              <w:textAlignment w:val="auto"/>
              <w:rPr>
                <w:rFonts w:hint="eastAsia" w:ascii="仿宋_GB2312" w:hAnsi="仿宋_GB2312" w:eastAsia="仿宋_GB2312" w:cs="仿宋_GB2312"/>
                <w:snapToGrid/>
                <w:sz w:val="21"/>
                <w:szCs w:val="21"/>
                <w:lang w:val="en-US" w:eastAsia="zh-CN"/>
              </w:rPr>
            </w:pPr>
            <w:r>
              <w:rPr>
                <w:rFonts w:hint="eastAsia" w:ascii="仿宋_GB2312" w:hAnsi="仿宋_GB2312" w:eastAsia="仿宋_GB2312" w:cs="仿宋_GB2312"/>
                <w:snapToGrid/>
                <w:sz w:val="21"/>
                <w:szCs w:val="21"/>
                <w:lang w:eastAsia="zh-CN"/>
              </w:rPr>
              <w:t>合计</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445AEAB">
            <w:pPr>
              <w:kinsoku/>
              <w:autoSpaceDE/>
              <w:autoSpaceDN/>
              <w:adjustRightInd/>
              <w:snapToGrid/>
              <w:spacing w:line="560" w:lineRule="exact"/>
              <w:jc w:val="center"/>
              <w:textAlignment w:val="auto"/>
              <w:rPr>
                <w:rFonts w:hint="eastAsia" w:ascii="仿宋_GB2312" w:hAnsi="仿宋_GB2312" w:eastAsia="仿宋_GB2312" w:cs="仿宋_GB2312"/>
                <w:snapToGrid/>
                <w:sz w:val="21"/>
                <w:szCs w:val="21"/>
                <w:lang w:val="en-US" w:eastAsia="zh-CN" w:bidi="ar-SA"/>
              </w:rPr>
            </w:pPr>
          </w:p>
        </w:tc>
        <w:tc>
          <w:tcPr>
            <w:tcW w:w="2127" w:type="pct"/>
            <w:tcBorders>
              <w:top w:val="single" w:color="auto" w:sz="4" w:space="0"/>
              <w:left w:val="single" w:color="auto" w:sz="4" w:space="0"/>
              <w:bottom w:val="single" w:color="auto" w:sz="4" w:space="0"/>
              <w:right w:val="single" w:color="auto" w:sz="4" w:space="0"/>
            </w:tcBorders>
            <w:noWrap w:val="0"/>
            <w:vAlign w:val="center"/>
          </w:tcPr>
          <w:p w14:paraId="3EAB865A">
            <w:pPr>
              <w:kinsoku/>
              <w:autoSpaceDE/>
              <w:autoSpaceDN/>
              <w:adjustRightInd/>
              <w:snapToGrid/>
              <w:spacing w:line="560" w:lineRule="exact"/>
              <w:jc w:val="center"/>
              <w:textAlignment w:val="auto"/>
              <w:rPr>
                <w:rFonts w:hint="eastAsia" w:ascii="仿宋_GB2312" w:hAnsi="仿宋_GB2312" w:eastAsia="仿宋_GB2312" w:cs="仿宋_GB2312"/>
                <w:snapToGrid/>
                <w:sz w:val="21"/>
                <w:szCs w:val="21"/>
                <w:lang w:val="en-US" w:eastAsia="zh-CN" w:bidi="ar-SA"/>
              </w:rPr>
            </w:pPr>
          </w:p>
        </w:tc>
        <w:tc>
          <w:tcPr>
            <w:tcW w:w="961" w:type="pct"/>
            <w:tcBorders>
              <w:top w:val="single" w:color="auto" w:sz="4" w:space="0"/>
              <w:left w:val="single" w:color="auto" w:sz="4" w:space="0"/>
              <w:bottom w:val="single" w:color="auto" w:sz="4" w:space="0"/>
              <w:right w:val="single" w:color="auto" w:sz="4" w:space="0"/>
            </w:tcBorders>
            <w:noWrap w:val="0"/>
            <w:vAlign w:val="center"/>
          </w:tcPr>
          <w:p w14:paraId="484EC211">
            <w:pPr>
              <w:keepNext w:val="0"/>
              <w:keepLines w:val="0"/>
              <w:widowControl/>
              <w:suppressLineNumbers w:val="0"/>
              <w:kinsoku/>
              <w:autoSpaceDE/>
              <w:autoSpaceDN/>
              <w:adjustRightInd/>
              <w:snapToGrid/>
              <w:jc w:val="center"/>
              <w:textAlignment w:val="center"/>
              <w:rPr>
                <w:rFonts w:hint="default" w:ascii="仿宋_GB2312" w:hAnsi="仿宋_GB2312" w:eastAsia="仿宋_GB2312" w:cs="仿宋_GB2312"/>
                <w:i w:val="0"/>
                <w:iCs w:val="0"/>
                <w:snapToGrid/>
                <w:color w:val="000000"/>
                <w:sz w:val="21"/>
                <w:szCs w:val="21"/>
                <w:u w:val="none"/>
                <w:lang w:val="en-US" w:eastAsia="zh-CN" w:bidi="ar-SA"/>
              </w:rPr>
            </w:pPr>
            <w:r>
              <w:rPr>
                <w:rFonts w:hint="eastAsia" w:ascii="仿宋_GB2312" w:hAnsi="仿宋_GB2312" w:eastAsia="仿宋_GB2312" w:cs="仿宋_GB2312"/>
                <w:b/>
                <w:bCs/>
                <w:snapToGrid/>
                <w:sz w:val="21"/>
                <w:szCs w:val="21"/>
                <w:lang w:val="en-US" w:eastAsia="zh-CN"/>
              </w:rPr>
              <w:t>75866.03</w:t>
            </w:r>
          </w:p>
        </w:tc>
      </w:tr>
    </w:tbl>
    <w:p w14:paraId="51F114F8">
      <w:pPr>
        <w:kinsoku/>
        <w:autoSpaceDE/>
        <w:autoSpaceDN/>
        <w:adjustRightInd/>
        <w:snapToGrid/>
        <w:spacing w:line="360" w:lineRule="auto"/>
        <w:textAlignment w:val="auto"/>
        <w:rPr>
          <w:rFonts w:hint="eastAsia" w:ascii="仿宋_GB2312" w:hAnsi="仿宋_GB2312" w:eastAsia="仿宋_GB2312" w:cs="仿宋_GB2312"/>
          <w:snapToGrid/>
          <w:sz w:val="21"/>
          <w:szCs w:val="21"/>
          <w:lang w:val="en-US" w:eastAsia="zh-CN"/>
        </w:rPr>
      </w:pPr>
    </w:p>
    <w:p w14:paraId="427125F6">
      <w:pPr>
        <w:kinsoku/>
        <w:autoSpaceDE/>
        <w:autoSpaceDN/>
        <w:adjustRightInd/>
        <w:snapToGrid/>
        <w:spacing w:line="360" w:lineRule="auto"/>
        <w:textAlignment w:val="auto"/>
        <w:rPr>
          <w:rFonts w:hint="eastAsia" w:ascii="仿宋_GB2312" w:hAnsi="仿宋_GB2312" w:eastAsia="仿宋_GB2312" w:cs="仿宋_GB2312"/>
          <w:snapToGrid/>
          <w:sz w:val="21"/>
          <w:szCs w:val="21"/>
          <w:lang w:val="en-US" w:eastAsia="zh-CN"/>
        </w:rPr>
      </w:pPr>
    </w:p>
    <w:p w14:paraId="657FAE84">
      <w:pPr>
        <w:kinsoku/>
        <w:autoSpaceDE/>
        <w:autoSpaceDN/>
        <w:adjustRightInd/>
        <w:snapToGrid/>
        <w:spacing w:line="360" w:lineRule="auto"/>
        <w:textAlignment w:val="auto"/>
        <w:rPr>
          <w:rFonts w:hint="eastAsia" w:ascii="仿宋_GB2312" w:hAnsi="仿宋_GB2312" w:eastAsia="仿宋_GB2312" w:cs="仿宋_GB2312"/>
          <w:snapToGrid/>
          <w:sz w:val="21"/>
          <w:szCs w:val="21"/>
          <w:lang w:val="en-US" w:eastAsia="zh-CN"/>
        </w:rPr>
      </w:pPr>
    </w:p>
    <w:p w14:paraId="2AA33B53">
      <w:pPr>
        <w:kinsoku/>
        <w:autoSpaceDE/>
        <w:autoSpaceDN/>
        <w:adjustRightInd/>
        <w:snapToGrid/>
        <w:spacing w:line="360" w:lineRule="auto"/>
        <w:textAlignment w:val="auto"/>
        <w:rPr>
          <w:rFonts w:hint="eastAsia" w:ascii="仿宋_GB2312" w:hAnsi="仿宋_GB2312" w:eastAsia="仿宋_GB2312" w:cs="仿宋_GB2312"/>
          <w:snapToGrid/>
          <w:sz w:val="21"/>
          <w:szCs w:val="21"/>
          <w:lang w:val="en-US" w:eastAsia="zh-CN"/>
        </w:rPr>
      </w:pPr>
    </w:p>
    <w:p w14:paraId="1E2116BE">
      <w:pPr>
        <w:kinsoku/>
        <w:autoSpaceDE/>
        <w:autoSpaceDN/>
        <w:adjustRightInd/>
        <w:snapToGrid/>
        <w:spacing w:line="360" w:lineRule="auto"/>
        <w:textAlignment w:val="auto"/>
        <w:rPr>
          <w:rFonts w:hint="eastAsia" w:ascii="仿宋_GB2312" w:hAnsi="仿宋_GB2312" w:eastAsia="仿宋_GB2312" w:cs="仿宋_GB2312"/>
          <w:snapToGrid/>
          <w:sz w:val="21"/>
          <w:szCs w:val="21"/>
          <w:lang w:val="en-US" w:eastAsia="zh-CN"/>
        </w:rPr>
      </w:pPr>
    </w:p>
    <w:p w14:paraId="7514720F">
      <w:pPr>
        <w:kinsoku/>
        <w:autoSpaceDE/>
        <w:autoSpaceDN/>
        <w:adjustRightInd/>
        <w:snapToGrid/>
        <w:spacing w:line="360" w:lineRule="auto"/>
        <w:textAlignment w:val="auto"/>
        <w:rPr>
          <w:rFonts w:hint="eastAsia" w:ascii="仿宋_GB2312" w:hAnsi="仿宋_GB2312" w:eastAsia="仿宋_GB2312" w:cs="仿宋_GB2312"/>
          <w:snapToGrid/>
          <w:sz w:val="21"/>
          <w:szCs w:val="21"/>
          <w:lang w:val="en-US" w:eastAsia="zh-CN"/>
        </w:rPr>
      </w:pPr>
    </w:p>
    <w:p w14:paraId="5025BB52">
      <w:pPr>
        <w:kinsoku/>
        <w:autoSpaceDE/>
        <w:autoSpaceDN/>
        <w:adjustRightInd/>
        <w:snapToGrid/>
        <w:spacing w:line="360" w:lineRule="auto"/>
        <w:textAlignment w:val="auto"/>
        <w:rPr>
          <w:rFonts w:hint="eastAsia" w:ascii="仿宋_GB2312" w:hAnsi="仿宋_GB2312" w:eastAsia="仿宋_GB2312" w:cs="仿宋_GB2312"/>
          <w:snapToGrid/>
          <w:sz w:val="21"/>
          <w:szCs w:val="21"/>
          <w:lang w:val="en-US" w:eastAsia="zh-CN"/>
        </w:rPr>
      </w:pPr>
    </w:p>
    <w:p w14:paraId="194E9E8D">
      <w:pPr>
        <w:kinsoku/>
        <w:autoSpaceDE/>
        <w:autoSpaceDN/>
        <w:adjustRightInd/>
        <w:snapToGrid/>
        <w:spacing w:after="0" w:line="560" w:lineRule="exact"/>
        <w:ind w:firstLine="420" w:firstLineChars="200"/>
        <w:textAlignment w:val="auto"/>
        <w:rPr>
          <w:rFonts w:hint="eastAsia" w:ascii="仿宋_GB2312" w:hAnsi="仿宋_GB2312" w:eastAsia="仿宋_GB2312" w:cs="仿宋_GB2312"/>
          <w:snapToGrid/>
          <w:color w:val="000000"/>
          <w:sz w:val="21"/>
          <w:szCs w:val="21"/>
          <w:lang w:val="en-US" w:eastAsia="zh-CN"/>
        </w:rPr>
      </w:pPr>
      <w:r>
        <w:rPr>
          <w:rFonts w:hint="eastAsia" w:ascii="仿宋_GB2312" w:hAnsi="仿宋_GB2312" w:eastAsia="仿宋_GB2312" w:cs="仿宋_GB2312"/>
          <w:snapToGrid/>
          <w:color w:val="000000"/>
          <w:sz w:val="21"/>
          <w:szCs w:val="21"/>
          <w:lang w:val="en-US" w:eastAsia="zh-CN"/>
        </w:rPr>
        <w:br w:type="page"/>
      </w:r>
    </w:p>
    <w:p w14:paraId="49A7D243">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长安路街办街头绿地广场明细表</w:t>
      </w:r>
    </w:p>
    <w:tbl>
      <w:tblPr>
        <w:tblStyle w:val="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
        <w:gridCol w:w="2825"/>
        <w:gridCol w:w="3624"/>
        <w:gridCol w:w="1638"/>
      </w:tblGrid>
      <w:tr w14:paraId="5874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54" w:type="pct"/>
            <w:tcBorders>
              <w:top w:val="single" w:color="auto" w:sz="4" w:space="0"/>
              <w:left w:val="single" w:color="auto" w:sz="4" w:space="0"/>
              <w:bottom w:val="single" w:color="auto" w:sz="4" w:space="0"/>
              <w:right w:val="single" w:color="auto" w:sz="4" w:space="0"/>
            </w:tcBorders>
            <w:noWrap w:val="0"/>
            <w:vAlign w:val="center"/>
          </w:tcPr>
          <w:p w14:paraId="086FC730">
            <w:pPr>
              <w:kinsoku/>
              <w:autoSpaceDE/>
              <w:autoSpaceDN/>
              <w:adjustRightInd/>
              <w:snapToGrid/>
              <w:spacing w:line="60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序号</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4155A81">
            <w:pPr>
              <w:kinsoku/>
              <w:autoSpaceDE/>
              <w:autoSpaceDN/>
              <w:adjustRightInd/>
              <w:snapToGrid/>
              <w:spacing w:line="60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名称</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90B00AE">
            <w:pPr>
              <w:kinsoku/>
              <w:autoSpaceDE/>
              <w:autoSpaceDN/>
              <w:adjustRightInd/>
              <w:snapToGrid/>
              <w:spacing w:line="60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地址</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37B1A3B">
            <w:pPr>
              <w:kinsoku/>
              <w:autoSpaceDE/>
              <w:autoSpaceDN/>
              <w:adjustRightInd/>
              <w:snapToGrid/>
              <w:spacing w:line="60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规模㎡</w:t>
            </w:r>
          </w:p>
        </w:tc>
      </w:tr>
      <w:tr w14:paraId="598BE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0CACC88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w:t>
            </w:r>
          </w:p>
        </w:tc>
        <w:tc>
          <w:tcPr>
            <w:tcW w:w="1657" w:type="pct"/>
            <w:tcBorders>
              <w:top w:val="single" w:color="auto" w:sz="4" w:space="0"/>
              <w:left w:val="single" w:color="auto" w:sz="4" w:space="0"/>
              <w:bottom w:val="single" w:color="auto" w:sz="4" w:space="0"/>
              <w:right w:val="single" w:color="auto" w:sz="4" w:space="0"/>
            </w:tcBorders>
            <w:noWrap w:val="0"/>
            <w:vAlign w:val="top"/>
          </w:tcPr>
          <w:p w14:paraId="1AF35D8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省图书馆广场</w:t>
            </w:r>
          </w:p>
        </w:tc>
        <w:tc>
          <w:tcPr>
            <w:tcW w:w="2126" w:type="pct"/>
            <w:tcBorders>
              <w:top w:val="single" w:color="auto" w:sz="4" w:space="0"/>
              <w:left w:val="single" w:color="auto" w:sz="4" w:space="0"/>
              <w:bottom w:val="single" w:color="auto" w:sz="4" w:space="0"/>
              <w:right w:val="single" w:color="auto" w:sz="4" w:space="0"/>
            </w:tcBorders>
            <w:noWrap w:val="0"/>
            <w:vAlign w:val="top"/>
          </w:tcPr>
          <w:p w14:paraId="65D8EA6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长安路立交西北角</w:t>
            </w:r>
          </w:p>
        </w:tc>
        <w:tc>
          <w:tcPr>
            <w:tcW w:w="961" w:type="pct"/>
            <w:tcBorders>
              <w:top w:val="single" w:color="auto" w:sz="4" w:space="0"/>
              <w:left w:val="single" w:color="auto" w:sz="4" w:space="0"/>
              <w:bottom w:val="single" w:color="auto" w:sz="4" w:space="0"/>
              <w:right w:val="single" w:color="auto" w:sz="4" w:space="0"/>
            </w:tcBorders>
            <w:noWrap w:val="0"/>
            <w:vAlign w:val="top"/>
          </w:tcPr>
          <w:p w14:paraId="6E9983E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258.43</w:t>
            </w:r>
          </w:p>
        </w:tc>
      </w:tr>
      <w:tr w14:paraId="5299D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35F0D2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6F58AA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环南路银博科技广场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55606D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环城南路银博科技门前（东）</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DAA0DD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120.11</w:t>
            </w:r>
          </w:p>
        </w:tc>
      </w:tr>
      <w:tr w14:paraId="19215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0F005D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4024EE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环南路银博科技广场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D36214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环城南路银博科技门前（西）</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19261A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42.66</w:t>
            </w:r>
          </w:p>
        </w:tc>
      </w:tr>
      <w:tr w14:paraId="608D4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0902CC7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top"/>
          </w:tcPr>
          <w:p w14:paraId="795F81C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城堡酒店广场</w:t>
            </w:r>
          </w:p>
        </w:tc>
        <w:tc>
          <w:tcPr>
            <w:tcW w:w="2126" w:type="pct"/>
            <w:tcBorders>
              <w:top w:val="single" w:color="auto" w:sz="4" w:space="0"/>
              <w:left w:val="single" w:color="auto" w:sz="4" w:space="0"/>
              <w:bottom w:val="single" w:color="auto" w:sz="4" w:space="0"/>
              <w:right w:val="single" w:color="auto" w:sz="4" w:space="0"/>
            </w:tcBorders>
            <w:noWrap w:val="0"/>
            <w:vAlign w:val="top"/>
          </w:tcPr>
          <w:p w14:paraId="17DFFF2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南门外城堡酒店</w:t>
            </w:r>
          </w:p>
        </w:tc>
        <w:tc>
          <w:tcPr>
            <w:tcW w:w="961" w:type="pct"/>
            <w:tcBorders>
              <w:top w:val="single" w:color="auto" w:sz="4" w:space="0"/>
              <w:left w:val="single" w:color="auto" w:sz="4" w:space="0"/>
              <w:bottom w:val="single" w:color="auto" w:sz="4" w:space="0"/>
              <w:right w:val="single" w:color="auto" w:sz="4" w:space="0"/>
            </w:tcBorders>
            <w:noWrap w:val="0"/>
            <w:vAlign w:val="top"/>
          </w:tcPr>
          <w:p w14:paraId="1AFBF1B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648.72</w:t>
            </w:r>
          </w:p>
        </w:tc>
      </w:tr>
      <w:tr w14:paraId="07D7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06E4534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5</w:t>
            </w:r>
          </w:p>
        </w:tc>
        <w:tc>
          <w:tcPr>
            <w:tcW w:w="1657" w:type="pct"/>
            <w:tcBorders>
              <w:top w:val="single" w:color="auto" w:sz="4" w:space="0"/>
              <w:left w:val="single" w:color="auto" w:sz="4" w:space="0"/>
              <w:bottom w:val="single" w:color="auto" w:sz="4" w:space="0"/>
              <w:right w:val="single" w:color="auto" w:sz="4" w:space="0"/>
            </w:tcBorders>
            <w:noWrap w:val="0"/>
            <w:vAlign w:val="top"/>
          </w:tcPr>
          <w:p w14:paraId="2132EA0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紫晶大厦广场</w:t>
            </w:r>
          </w:p>
        </w:tc>
        <w:tc>
          <w:tcPr>
            <w:tcW w:w="2126" w:type="pct"/>
            <w:tcBorders>
              <w:top w:val="single" w:color="auto" w:sz="4" w:space="0"/>
              <w:left w:val="single" w:color="auto" w:sz="4" w:space="0"/>
              <w:bottom w:val="single" w:color="auto" w:sz="4" w:space="0"/>
              <w:right w:val="single" w:color="auto" w:sz="4" w:space="0"/>
            </w:tcBorders>
            <w:noWrap w:val="0"/>
            <w:vAlign w:val="top"/>
          </w:tcPr>
          <w:p w14:paraId="5D49FD9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友谊路永宁村口</w:t>
            </w:r>
          </w:p>
        </w:tc>
        <w:tc>
          <w:tcPr>
            <w:tcW w:w="961" w:type="pct"/>
            <w:tcBorders>
              <w:top w:val="single" w:color="auto" w:sz="4" w:space="0"/>
              <w:left w:val="single" w:color="auto" w:sz="4" w:space="0"/>
              <w:bottom w:val="single" w:color="auto" w:sz="4" w:space="0"/>
              <w:right w:val="single" w:color="auto" w:sz="4" w:space="0"/>
            </w:tcBorders>
            <w:noWrap w:val="0"/>
            <w:vAlign w:val="top"/>
          </w:tcPr>
          <w:p w14:paraId="71569FF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97.7</w:t>
            </w:r>
          </w:p>
        </w:tc>
      </w:tr>
      <w:tr w14:paraId="4536E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2"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61DD952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6</w:t>
            </w:r>
          </w:p>
        </w:tc>
        <w:tc>
          <w:tcPr>
            <w:tcW w:w="1657" w:type="pct"/>
            <w:tcBorders>
              <w:top w:val="single" w:color="auto" w:sz="4" w:space="0"/>
              <w:left w:val="single" w:color="auto" w:sz="4" w:space="0"/>
              <w:bottom w:val="single" w:color="auto" w:sz="4" w:space="0"/>
              <w:right w:val="single" w:color="auto" w:sz="4" w:space="0"/>
            </w:tcBorders>
            <w:noWrap w:val="0"/>
            <w:vAlign w:val="top"/>
          </w:tcPr>
          <w:p w14:paraId="65730FA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草场坡广场</w:t>
            </w:r>
          </w:p>
        </w:tc>
        <w:tc>
          <w:tcPr>
            <w:tcW w:w="2126" w:type="pct"/>
            <w:tcBorders>
              <w:top w:val="single" w:color="auto" w:sz="4" w:space="0"/>
              <w:left w:val="single" w:color="auto" w:sz="4" w:space="0"/>
              <w:bottom w:val="single" w:color="auto" w:sz="4" w:space="0"/>
              <w:right w:val="single" w:color="auto" w:sz="4" w:space="0"/>
            </w:tcBorders>
            <w:noWrap w:val="0"/>
            <w:vAlign w:val="top"/>
          </w:tcPr>
          <w:p w14:paraId="49F3DB5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3538家属院门口</w:t>
            </w:r>
          </w:p>
        </w:tc>
        <w:tc>
          <w:tcPr>
            <w:tcW w:w="961" w:type="pct"/>
            <w:tcBorders>
              <w:top w:val="single" w:color="auto" w:sz="4" w:space="0"/>
              <w:left w:val="single" w:color="auto" w:sz="4" w:space="0"/>
              <w:bottom w:val="single" w:color="auto" w:sz="4" w:space="0"/>
              <w:right w:val="single" w:color="auto" w:sz="4" w:space="0"/>
            </w:tcBorders>
            <w:noWrap w:val="0"/>
            <w:vAlign w:val="top"/>
          </w:tcPr>
          <w:p w14:paraId="1FC099F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90.62</w:t>
            </w:r>
          </w:p>
        </w:tc>
      </w:tr>
      <w:tr w14:paraId="0626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44FC5A5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7</w:t>
            </w:r>
          </w:p>
        </w:tc>
        <w:tc>
          <w:tcPr>
            <w:tcW w:w="1657" w:type="pct"/>
            <w:tcBorders>
              <w:top w:val="single" w:color="auto" w:sz="4" w:space="0"/>
              <w:left w:val="single" w:color="auto" w:sz="4" w:space="0"/>
              <w:bottom w:val="single" w:color="auto" w:sz="4" w:space="0"/>
              <w:right w:val="single" w:color="auto" w:sz="4" w:space="0"/>
            </w:tcBorders>
            <w:noWrap w:val="0"/>
            <w:vAlign w:val="top"/>
          </w:tcPr>
          <w:p w14:paraId="3E6DB2B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朱雀路绿化带</w:t>
            </w:r>
          </w:p>
        </w:tc>
        <w:tc>
          <w:tcPr>
            <w:tcW w:w="2126" w:type="pct"/>
            <w:tcBorders>
              <w:top w:val="single" w:color="auto" w:sz="4" w:space="0"/>
              <w:left w:val="single" w:color="auto" w:sz="4" w:space="0"/>
              <w:bottom w:val="single" w:color="auto" w:sz="4" w:space="0"/>
              <w:right w:val="single" w:color="auto" w:sz="4" w:space="0"/>
            </w:tcBorders>
            <w:noWrap w:val="0"/>
            <w:vAlign w:val="top"/>
          </w:tcPr>
          <w:p w14:paraId="68E56C6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南二环至朱雀门</w:t>
            </w:r>
          </w:p>
        </w:tc>
        <w:tc>
          <w:tcPr>
            <w:tcW w:w="961" w:type="pct"/>
            <w:tcBorders>
              <w:top w:val="single" w:color="auto" w:sz="4" w:space="0"/>
              <w:left w:val="single" w:color="auto" w:sz="4" w:space="0"/>
              <w:bottom w:val="single" w:color="auto" w:sz="4" w:space="0"/>
              <w:right w:val="single" w:color="auto" w:sz="4" w:space="0"/>
            </w:tcBorders>
            <w:noWrap w:val="0"/>
            <w:vAlign w:val="top"/>
          </w:tcPr>
          <w:p w14:paraId="38DD4EF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10403.95</w:t>
            </w:r>
          </w:p>
        </w:tc>
      </w:tr>
      <w:tr w14:paraId="1F1A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15EA549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B54056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正苑广场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EC8361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友谊西路与朱雀路什字向东路北50米</w:t>
            </w:r>
          </w:p>
        </w:tc>
        <w:tc>
          <w:tcPr>
            <w:tcW w:w="961" w:type="pct"/>
            <w:tcBorders>
              <w:top w:val="single" w:color="auto" w:sz="4" w:space="0"/>
              <w:left w:val="single" w:color="auto" w:sz="4" w:space="0"/>
              <w:bottom w:val="single" w:color="auto" w:sz="4" w:space="0"/>
              <w:right w:val="single" w:color="auto" w:sz="4" w:space="0"/>
            </w:tcBorders>
            <w:noWrap w:val="0"/>
            <w:vAlign w:val="top"/>
          </w:tcPr>
          <w:p w14:paraId="725DDFF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6</w:t>
            </w:r>
            <w:r>
              <w:rPr>
                <w:rFonts w:hint="eastAsia" w:ascii="仿宋_GB2312" w:hAnsi="仿宋_GB2312" w:eastAsia="仿宋_GB2312" w:cs="仿宋_GB2312"/>
                <w:b w:val="0"/>
                <w:bCs w:val="0"/>
                <w:snapToGrid/>
                <w:sz w:val="21"/>
                <w:szCs w:val="21"/>
                <w:lang w:val="en-US" w:eastAsia="zh-CN"/>
              </w:rPr>
              <w:t>65.12</w:t>
            </w:r>
          </w:p>
        </w:tc>
      </w:tr>
      <w:tr w14:paraId="0055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69EC97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9</w:t>
            </w:r>
          </w:p>
        </w:tc>
        <w:tc>
          <w:tcPr>
            <w:tcW w:w="1657" w:type="pct"/>
            <w:tcBorders>
              <w:top w:val="single" w:color="auto" w:sz="4" w:space="0"/>
              <w:left w:val="single" w:color="auto" w:sz="4" w:space="0"/>
              <w:bottom w:val="single" w:color="auto" w:sz="4" w:space="0"/>
              <w:right w:val="single" w:color="auto" w:sz="4" w:space="0"/>
            </w:tcBorders>
            <w:noWrap w:val="0"/>
            <w:vAlign w:val="top"/>
          </w:tcPr>
          <w:p w14:paraId="54D9108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友谊路绿道</w:t>
            </w:r>
          </w:p>
        </w:tc>
        <w:tc>
          <w:tcPr>
            <w:tcW w:w="2126" w:type="pct"/>
            <w:tcBorders>
              <w:top w:val="single" w:color="auto" w:sz="4" w:space="0"/>
              <w:left w:val="single" w:color="auto" w:sz="4" w:space="0"/>
              <w:bottom w:val="single" w:color="auto" w:sz="4" w:space="0"/>
              <w:right w:val="single" w:color="auto" w:sz="4" w:space="0"/>
            </w:tcBorders>
            <w:noWrap w:val="0"/>
            <w:vAlign w:val="top"/>
          </w:tcPr>
          <w:p w14:paraId="2A806FF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友谊西路与朱雀路什字东北角</w:t>
            </w:r>
          </w:p>
        </w:tc>
        <w:tc>
          <w:tcPr>
            <w:tcW w:w="961" w:type="pct"/>
            <w:tcBorders>
              <w:top w:val="single" w:color="auto" w:sz="4" w:space="0"/>
              <w:left w:val="single" w:color="auto" w:sz="4" w:space="0"/>
              <w:bottom w:val="single" w:color="auto" w:sz="4" w:space="0"/>
              <w:right w:val="single" w:color="auto" w:sz="4" w:space="0"/>
            </w:tcBorders>
            <w:noWrap w:val="0"/>
            <w:vAlign w:val="top"/>
          </w:tcPr>
          <w:p w14:paraId="5901EE9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819.66</w:t>
            </w:r>
          </w:p>
        </w:tc>
      </w:tr>
      <w:tr w14:paraId="16EFB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6A0EC18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1</w:t>
            </w:r>
            <w:r>
              <w:rPr>
                <w:rFonts w:hint="eastAsia" w:ascii="仿宋_GB2312" w:hAnsi="仿宋_GB2312" w:eastAsia="仿宋_GB2312" w:cs="仿宋_GB2312"/>
                <w:b w:val="0"/>
                <w:bCs w:val="0"/>
                <w:snapToGrid/>
                <w:sz w:val="21"/>
                <w:szCs w:val="21"/>
                <w:lang w:val="en-US" w:eastAsia="zh-CN"/>
              </w:rPr>
              <w:t>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5E3E01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小雁塔寺路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D8DA0C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小雁塔寺路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9D6E81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187.42</w:t>
            </w:r>
          </w:p>
        </w:tc>
      </w:tr>
      <w:tr w14:paraId="76AD7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597690B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B0DDF3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朱雀东坊</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A87C7B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朱雀东坊</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E1FAAC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133.32</w:t>
            </w:r>
          </w:p>
        </w:tc>
      </w:tr>
      <w:tr w14:paraId="5684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56932D8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707A29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 xml:space="preserve">南郭路 </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61B86C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南郭路</w:t>
            </w:r>
            <w:r>
              <w:rPr>
                <w:rFonts w:hint="eastAsia" w:ascii="仿宋_GB2312" w:hAnsi="仿宋_GB2312" w:eastAsia="仿宋_GB2312" w:cs="仿宋_GB2312"/>
                <w:b w:val="0"/>
                <w:bCs w:val="0"/>
                <w:snapToGrid/>
                <w:sz w:val="21"/>
                <w:szCs w:val="21"/>
                <w:lang w:val="en-US" w:eastAsia="zh-CN"/>
              </w:rPr>
              <w:t>西段</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755B7E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512.73</w:t>
            </w:r>
          </w:p>
        </w:tc>
      </w:tr>
      <w:tr w14:paraId="3B4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193F17A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C5116D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仁义路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3DA65D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仁义路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1D214C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282.59</w:t>
            </w:r>
          </w:p>
        </w:tc>
      </w:tr>
      <w:tr w14:paraId="6F4A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1923CD7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w:t>
            </w:r>
            <w:r>
              <w:rPr>
                <w:rFonts w:hint="eastAsia" w:ascii="仿宋_GB2312" w:hAnsi="仿宋_GB2312" w:eastAsia="仿宋_GB2312" w:cs="仿宋_GB2312"/>
                <w:b w:val="0"/>
                <w:bCs w:val="0"/>
                <w:snapToGrid/>
                <w:sz w:val="21"/>
                <w:szCs w:val="21"/>
                <w:lang w:val="en-US"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634170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四民巷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2265E0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四民巷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BEC90C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22.85</w:t>
            </w:r>
          </w:p>
        </w:tc>
      </w:tr>
      <w:tr w14:paraId="212F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1F0DE83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4CD8A2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 xml:space="preserve">南郭路 </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471498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南郭路</w:t>
            </w:r>
            <w:r>
              <w:rPr>
                <w:rFonts w:hint="eastAsia" w:ascii="仿宋_GB2312" w:hAnsi="仿宋_GB2312" w:eastAsia="仿宋_GB2312" w:cs="仿宋_GB2312"/>
                <w:b w:val="0"/>
                <w:bCs w:val="0"/>
                <w:snapToGrid/>
                <w:sz w:val="21"/>
                <w:szCs w:val="21"/>
                <w:lang w:val="en-US" w:eastAsia="zh-CN"/>
              </w:rPr>
              <w:t>东段</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0C645B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370.6</w:t>
            </w:r>
          </w:p>
        </w:tc>
      </w:tr>
      <w:tr w14:paraId="4ACC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15C9FEF4">
            <w:pPr>
              <w:kinsoku/>
              <w:autoSpaceDE/>
              <w:autoSpaceDN/>
              <w:adjustRightInd/>
              <w:snapToGrid/>
              <w:spacing w:line="600" w:lineRule="exact"/>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合计</w:t>
            </w:r>
          </w:p>
        </w:tc>
        <w:tc>
          <w:tcPr>
            <w:tcW w:w="1657" w:type="pct"/>
            <w:tcBorders>
              <w:top w:val="single" w:color="auto" w:sz="4" w:space="0"/>
              <w:left w:val="single" w:color="auto" w:sz="4" w:space="0"/>
              <w:bottom w:val="single" w:color="auto" w:sz="4" w:space="0"/>
              <w:right w:val="single" w:color="auto" w:sz="4" w:space="0"/>
            </w:tcBorders>
            <w:noWrap w:val="0"/>
            <w:vAlign w:val="top"/>
          </w:tcPr>
          <w:p w14:paraId="32677BA9">
            <w:pPr>
              <w:kinsoku/>
              <w:autoSpaceDE/>
              <w:autoSpaceDN/>
              <w:adjustRightInd/>
              <w:snapToGrid/>
              <w:spacing w:line="600" w:lineRule="exact"/>
              <w:ind w:firstLine="2310" w:firstLineChars="1100"/>
              <w:jc w:val="center"/>
              <w:textAlignment w:val="auto"/>
              <w:rPr>
                <w:rFonts w:hint="eastAsia" w:ascii="仿宋_GB2312" w:hAnsi="仿宋_GB2312" w:eastAsia="仿宋_GB2312" w:cs="仿宋_GB2312"/>
                <w:snapToGrid/>
                <w:sz w:val="21"/>
                <w:szCs w:val="21"/>
                <w:lang w:eastAsia="zh-CN"/>
              </w:rPr>
            </w:pPr>
          </w:p>
        </w:tc>
        <w:tc>
          <w:tcPr>
            <w:tcW w:w="2126" w:type="pct"/>
            <w:tcBorders>
              <w:top w:val="single" w:color="auto" w:sz="4" w:space="0"/>
              <w:left w:val="single" w:color="auto" w:sz="4" w:space="0"/>
              <w:bottom w:val="single" w:color="auto" w:sz="4" w:space="0"/>
              <w:right w:val="single" w:color="auto" w:sz="4" w:space="0"/>
            </w:tcBorders>
            <w:noWrap w:val="0"/>
            <w:vAlign w:val="top"/>
          </w:tcPr>
          <w:p w14:paraId="55CEF9C0">
            <w:pPr>
              <w:kinsoku/>
              <w:autoSpaceDE/>
              <w:autoSpaceDN/>
              <w:adjustRightInd/>
              <w:snapToGrid/>
              <w:spacing w:line="600" w:lineRule="exact"/>
              <w:ind w:firstLine="2310" w:firstLineChars="1100"/>
              <w:jc w:val="center"/>
              <w:textAlignment w:val="auto"/>
              <w:rPr>
                <w:rFonts w:hint="eastAsia" w:ascii="仿宋_GB2312" w:hAnsi="仿宋_GB2312" w:eastAsia="仿宋_GB2312" w:cs="仿宋_GB2312"/>
                <w:snapToGrid/>
                <w:sz w:val="21"/>
                <w:szCs w:val="21"/>
                <w:lang w:eastAsia="zh-CN"/>
              </w:rPr>
            </w:pPr>
          </w:p>
        </w:tc>
        <w:tc>
          <w:tcPr>
            <w:tcW w:w="961" w:type="pct"/>
            <w:tcBorders>
              <w:top w:val="single" w:color="auto" w:sz="4" w:space="0"/>
              <w:left w:val="single" w:color="auto" w:sz="4" w:space="0"/>
              <w:bottom w:val="single" w:color="auto" w:sz="4" w:space="0"/>
              <w:right w:val="single" w:color="auto" w:sz="4" w:space="0"/>
            </w:tcBorders>
            <w:noWrap w:val="0"/>
            <w:vAlign w:val="center"/>
          </w:tcPr>
          <w:p w14:paraId="35B12CA7">
            <w:pPr>
              <w:kinsoku/>
              <w:autoSpaceDE/>
              <w:autoSpaceDN/>
              <w:adjustRightInd/>
              <w:snapToGrid/>
              <w:jc w:val="center"/>
              <w:textAlignment w:val="center"/>
              <w:rPr>
                <w:rFonts w:hint="eastAsia" w:ascii="仿宋_GB2312" w:hAnsi="仿宋_GB2312" w:eastAsia="仿宋_GB2312" w:cs="仿宋_GB2312"/>
                <w:snapToGrid/>
                <w:color w:val="000000"/>
                <w:sz w:val="21"/>
                <w:szCs w:val="21"/>
                <w:lang w:val="en-US" w:eastAsia="zh-CN"/>
              </w:rPr>
            </w:pPr>
            <w:r>
              <w:rPr>
                <w:rFonts w:hint="eastAsia" w:ascii="仿宋_GB2312" w:hAnsi="仿宋_GB2312" w:eastAsia="仿宋_GB2312" w:cs="仿宋_GB2312"/>
                <w:b/>
                <w:bCs/>
                <w:snapToGrid/>
                <w:color w:val="000000"/>
                <w:sz w:val="21"/>
                <w:szCs w:val="21"/>
                <w:lang w:val="en-US" w:eastAsia="zh-CN"/>
              </w:rPr>
              <w:t>14656.48</w:t>
            </w:r>
          </w:p>
        </w:tc>
      </w:tr>
    </w:tbl>
    <w:p w14:paraId="78592CD1">
      <w:pPr>
        <w:kinsoku/>
        <w:autoSpaceDE/>
        <w:autoSpaceDN/>
        <w:adjustRightInd/>
        <w:snapToGrid/>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br w:type="page"/>
      </w:r>
    </w:p>
    <w:p w14:paraId="2F0DBB97">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长乐坊街办街头绿地广场明细表</w:t>
      </w:r>
    </w:p>
    <w:tbl>
      <w:tblPr>
        <w:tblStyle w:val="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
        <w:gridCol w:w="2825"/>
        <w:gridCol w:w="3624"/>
        <w:gridCol w:w="1638"/>
      </w:tblGrid>
      <w:tr w14:paraId="63973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11B707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序号</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2E1F64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名称</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BAEC87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地址</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A5E2C5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规模㎡</w:t>
            </w:r>
          </w:p>
        </w:tc>
      </w:tr>
      <w:tr w14:paraId="11857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9C3FAC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FF7B91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长乐坊东段广场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8C587D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长乐坊路东段路北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D67214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126.06</w:t>
            </w:r>
          </w:p>
        </w:tc>
      </w:tr>
      <w:tr w14:paraId="2EE5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C50245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273AF3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更新街广场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70CBC0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更新街与炮房街丁字路口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A344D9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236.48</w:t>
            </w:r>
          </w:p>
        </w:tc>
      </w:tr>
      <w:tr w14:paraId="5EF0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641F1E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A8E4AD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长乐坊东口广场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D1BAA9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长乐坊路东口路北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9F0FAE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231</w:t>
            </w:r>
          </w:p>
        </w:tc>
      </w:tr>
      <w:tr w14:paraId="0B58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8477DB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499725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兴庆路北段绿化带</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5CE5F7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皇后酒店十字至永乐路十字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79FB98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3324.44</w:t>
            </w:r>
          </w:p>
        </w:tc>
      </w:tr>
      <w:tr w14:paraId="1772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F880ED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FE29EE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新庆巷绿化带</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12DBF3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新庆巷全段</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DE78DE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223.36</w:t>
            </w:r>
          </w:p>
        </w:tc>
      </w:tr>
      <w:tr w14:paraId="5A8F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4858CC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96CBD6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东窑坊东路小广场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12EEA8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东二环路西东窑坊东路中段路北侧</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9AE7C6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348.09</w:t>
            </w:r>
          </w:p>
        </w:tc>
      </w:tr>
      <w:tr w14:paraId="64DD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5E47C1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CAC1F2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新安街绿化小广场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28E0DC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金花饭店南侧新安街口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CAAE05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72.62</w:t>
            </w:r>
          </w:p>
        </w:tc>
      </w:tr>
      <w:tr w14:paraId="381F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C8A6B4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25DB7B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北郭门</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D440F6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北郭门</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9BB016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160</w:t>
            </w:r>
          </w:p>
        </w:tc>
      </w:tr>
      <w:tr w14:paraId="7D61E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0099EA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F3B98C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伍道十字街</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92A35F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伍道十字街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12770B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149.05</w:t>
            </w:r>
          </w:p>
        </w:tc>
      </w:tr>
      <w:tr w14:paraId="16700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AF26B2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34A5A6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东窑坊</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AD4456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东窑坊</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BE036E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135.90</w:t>
            </w:r>
          </w:p>
        </w:tc>
      </w:tr>
      <w:tr w14:paraId="05788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6BED56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A30DD1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炮房街</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B5BB0F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罔极寺东侧</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C0C75A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16.29</w:t>
            </w:r>
          </w:p>
        </w:tc>
      </w:tr>
      <w:tr w14:paraId="07C6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6AFBBE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396252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万庆巷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E50662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万庆巷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990A1C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13.06</w:t>
            </w:r>
          </w:p>
        </w:tc>
      </w:tr>
      <w:tr w14:paraId="33E2E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84A2B6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A31D89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新乐路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043E9E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新乐路与柿园路十字北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D686E3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201.04</w:t>
            </w:r>
          </w:p>
        </w:tc>
      </w:tr>
      <w:tr w14:paraId="7AF5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407498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215E95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景观路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A78E0C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金花北路与景观路丁字路口开始向东300米</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2F7774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94.23</w:t>
            </w:r>
          </w:p>
        </w:tc>
      </w:tr>
      <w:tr w14:paraId="2979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top"/>
          </w:tcPr>
          <w:p w14:paraId="282C9112">
            <w:pPr>
              <w:kinsoku/>
              <w:autoSpaceDE/>
              <w:autoSpaceDN/>
              <w:adjustRightInd/>
              <w:snapToGrid/>
              <w:spacing w:line="540" w:lineRule="exact"/>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合计</w:t>
            </w:r>
          </w:p>
        </w:tc>
        <w:tc>
          <w:tcPr>
            <w:tcW w:w="1657" w:type="pct"/>
            <w:tcBorders>
              <w:top w:val="single" w:color="auto" w:sz="4" w:space="0"/>
              <w:left w:val="single" w:color="auto" w:sz="4" w:space="0"/>
              <w:bottom w:val="single" w:color="auto" w:sz="4" w:space="0"/>
              <w:right w:val="single" w:color="auto" w:sz="4" w:space="0"/>
            </w:tcBorders>
            <w:noWrap w:val="0"/>
            <w:vAlign w:val="top"/>
          </w:tcPr>
          <w:p w14:paraId="54950A46">
            <w:pPr>
              <w:kinsoku/>
              <w:autoSpaceDE/>
              <w:autoSpaceDN/>
              <w:adjustRightInd/>
              <w:snapToGrid/>
              <w:spacing w:line="540" w:lineRule="exact"/>
              <w:jc w:val="center"/>
              <w:textAlignment w:val="auto"/>
              <w:rPr>
                <w:rFonts w:hint="eastAsia" w:ascii="仿宋_GB2312" w:hAnsi="仿宋_GB2312" w:eastAsia="仿宋_GB2312" w:cs="仿宋_GB2312"/>
                <w:snapToGrid/>
                <w:sz w:val="21"/>
                <w:szCs w:val="21"/>
                <w:lang w:eastAsia="zh-CN"/>
              </w:rPr>
            </w:pPr>
          </w:p>
        </w:tc>
        <w:tc>
          <w:tcPr>
            <w:tcW w:w="2126" w:type="pct"/>
            <w:tcBorders>
              <w:top w:val="single" w:color="auto" w:sz="4" w:space="0"/>
              <w:left w:val="single" w:color="auto" w:sz="4" w:space="0"/>
              <w:bottom w:val="single" w:color="auto" w:sz="4" w:space="0"/>
              <w:right w:val="single" w:color="auto" w:sz="4" w:space="0"/>
            </w:tcBorders>
            <w:noWrap w:val="0"/>
            <w:vAlign w:val="top"/>
          </w:tcPr>
          <w:p w14:paraId="0228E817">
            <w:pPr>
              <w:kinsoku/>
              <w:autoSpaceDE/>
              <w:autoSpaceDN/>
              <w:adjustRightInd/>
              <w:snapToGrid/>
              <w:spacing w:line="540" w:lineRule="exact"/>
              <w:jc w:val="center"/>
              <w:textAlignment w:val="auto"/>
              <w:rPr>
                <w:rFonts w:hint="eastAsia" w:ascii="仿宋_GB2312" w:hAnsi="仿宋_GB2312" w:eastAsia="仿宋_GB2312" w:cs="仿宋_GB2312"/>
                <w:snapToGrid/>
                <w:sz w:val="21"/>
                <w:szCs w:val="21"/>
                <w:lang w:eastAsia="zh-CN"/>
              </w:rPr>
            </w:pPr>
          </w:p>
        </w:tc>
        <w:tc>
          <w:tcPr>
            <w:tcW w:w="961" w:type="pct"/>
            <w:tcBorders>
              <w:top w:val="single" w:color="auto" w:sz="4" w:space="0"/>
              <w:left w:val="single" w:color="auto" w:sz="4" w:space="0"/>
              <w:bottom w:val="single" w:color="auto" w:sz="4" w:space="0"/>
              <w:right w:val="single" w:color="auto" w:sz="4" w:space="0"/>
            </w:tcBorders>
            <w:noWrap w:val="0"/>
            <w:vAlign w:val="top"/>
          </w:tcPr>
          <w:p w14:paraId="22CA26BE">
            <w:pPr>
              <w:kinsoku/>
              <w:autoSpaceDE/>
              <w:autoSpaceDN/>
              <w:adjustRightInd/>
              <w:snapToGrid/>
              <w:spacing w:line="540" w:lineRule="exact"/>
              <w:jc w:val="center"/>
              <w:textAlignment w:val="auto"/>
              <w:rPr>
                <w:rFonts w:hint="eastAsia" w:ascii="仿宋_GB2312" w:hAnsi="仿宋_GB2312" w:eastAsia="仿宋_GB2312" w:cs="仿宋_GB2312"/>
                <w:snapToGrid/>
                <w:sz w:val="21"/>
                <w:szCs w:val="21"/>
                <w:lang w:val="en-US" w:eastAsia="zh-CN"/>
              </w:rPr>
            </w:pPr>
            <w:r>
              <w:rPr>
                <w:rFonts w:hint="eastAsia" w:ascii="仿宋_GB2312" w:hAnsi="仿宋_GB2312" w:eastAsia="仿宋_GB2312" w:cs="仿宋_GB2312"/>
                <w:b/>
                <w:bCs/>
                <w:snapToGrid/>
                <w:sz w:val="21"/>
                <w:szCs w:val="21"/>
                <w:lang w:val="en-US" w:eastAsia="zh-CN"/>
              </w:rPr>
              <w:t>5331.62</w:t>
            </w:r>
          </w:p>
        </w:tc>
      </w:tr>
    </w:tbl>
    <w:p w14:paraId="541BB9DF">
      <w:pPr>
        <w:kinsoku/>
        <w:autoSpaceDE/>
        <w:autoSpaceDN/>
        <w:adjustRightInd/>
        <w:snapToGrid/>
        <w:spacing w:afterLines="50"/>
        <w:textAlignment w:val="auto"/>
        <w:rPr>
          <w:rFonts w:hint="eastAsia" w:ascii="仿宋_GB2312" w:hAnsi="仿宋_GB2312" w:eastAsia="仿宋_GB2312" w:cs="仿宋_GB2312"/>
          <w:snapToGrid/>
          <w:sz w:val="21"/>
          <w:szCs w:val="21"/>
          <w:lang w:eastAsia="zh-CN"/>
        </w:rPr>
      </w:pPr>
    </w:p>
    <w:p w14:paraId="5ACD228C">
      <w:pPr>
        <w:kinsoku/>
        <w:autoSpaceDE/>
        <w:autoSpaceDN/>
        <w:adjustRightInd/>
        <w:snapToGrid/>
        <w:spacing w:afterLines="50"/>
        <w:textAlignment w:val="auto"/>
        <w:rPr>
          <w:rFonts w:hint="eastAsia" w:ascii="仿宋_GB2312" w:hAnsi="仿宋_GB2312" w:eastAsia="仿宋_GB2312" w:cs="仿宋_GB2312"/>
          <w:snapToGrid/>
          <w:sz w:val="21"/>
          <w:szCs w:val="21"/>
          <w:lang w:eastAsia="zh-CN"/>
        </w:rPr>
      </w:pPr>
    </w:p>
    <w:p w14:paraId="69BD1D8F">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br w:type="page"/>
      </w:r>
      <w:r>
        <w:rPr>
          <w:rFonts w:hint="eastAsia" w:ascii="仿宋_GB2312" w:hAnsi="仿宋_GB2312" w:eastAsia="仿宋_GB2312" w:cs="仿宋_GB2312"/>
          <w:snapToGrid/>
          <w:sz w:val="21"/>
          <w:szCs w:val="21"/>
          <w:lang w:eastAsia="zh-CN"/>
        </w:rPr>
        <w:t>东关南街街办街头绿地广场明细表</w:t>
      </w:r>
    </w:p>
    <w:tbl>
      <w:tblPr>
        <w:tblStyle w:val="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
        <w:gridCol w:w="2825"/>
        <w:gridCol w:w="3624"/>
        <w:gridCol w:w="1638"/>
      </w:tblGrid>
      <w:tr w14:paraId="3DEF7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43536F7">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序号</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5497917">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名称</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588FC0B">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地址</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7587D14">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规模㎡</w:t>
            </w:r>
          </w:p>
        </w:tc>
      </w:tr>
      <w:tr w14:paraId="690E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3C1C33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5460A9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长兴路广场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CBB6AF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长兴路路南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B1A638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416.37</w:t>
            </w:r>
          </w:p>
        </w:tc>
      </w:tr>
      <w:tr w14:paraId="3F94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222E38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90FB7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东门外广场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2C862C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东门外东南角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EEC3DE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188.39</w:t>
            </w:r>
          </w:p>
        </w:tc>
      </w:tr>
      <w:tr w14:paraId="431A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A81C2C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81E607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林苑广场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5E4A9E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互助路与兴庆路十字西南角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0B5144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264.37</w:t>
            </w:r>
          </w:p>
        </w:tc>
      </w:tr>
      <w:tr w14:paraId="127A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A5A2B0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D3DAEB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亲亲宝贝城门前广场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D35061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柿园路亲亲宝贝城门前</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026285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431.57</w:t>
            </w:r>
          </w:p>
        </w:tc>
      </w:tr>
      <w:tr w14:paraId="0D313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EB3039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5E58DA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柿园路绿化带</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D8A337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更新街南口至兴庆路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E7E1A9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4060.22</w:t>
            </w:r>
          </w:p>
        </w:tc>
      </w:tr>
      <w:tr w14:paraId="54BE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BC4509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9C7F39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兴庆路绿化带</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CEEDC5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皇后大酒店十字至咸宁路十字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C05EAD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3649.05</w:t>
            </w:r>
          </w:p>
        </w:tc>
      </w:tr>
      <w:tr w14:paraId="2DBD7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40A157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27043D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仁厚庄北路绿化带</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BD9379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兴庆路西口至东二环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D3F98E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5245.81</w:t>
            </w:r>
          </w:p>
        </w:tc>
      </w:tr>
      <w:tr w14:paraId="4D492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9D7F38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267368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互助路绿化带</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421BDF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兴庆路至东二环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E51911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6430.32</w:t>
            </w:r>
          </w:p>
        </w:tc>
      </w:tr>
      <w:tr w14:paraId="670E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D2CFF2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5FF41C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紫落澜庭绿化广场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B44B68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紫落澜庭</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58A19A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2743.82</w:t>
            </w:r>
          </w:p>
        </w:tc>
      </w:tr>
      <w:tr w14:paraId="29B7E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004E8D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1</w:t>
            </w:r>
            <w:r>
              <w:rPr>
                <w:rFonts w:hint="eastAsia" w:ascii="仿宋_GB2312" w:hAnsi="仿宋_GB2312" w:eastAsia="仿宋_GB2312" w:cs="仿宋_GB2312"/>
                <w:b w:val="0"/>
                <w:bCs w:val="0"/>
                <w:snapToGrid/>
                <w:sz w:val="21"/>
                <w:szCs w:val="21"/>
                <w:lang w:val="en-US" w:eastAsia="zh-CN"/>
              </w:rPr>
              <w:t>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668012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仁厚庄</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AFB863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仁厚庄</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3EF8B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125.96</w:t>
            </w:r>
          </w:p>
        </w:tc>
      </w:tr>
      <w:tr w14:paraId="45D1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8E612C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11</w:t>
            </w:r>
          </w:p>
          <w:p w14:paraId="0B6AB8C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D21AEB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东关正街</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868CAB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东关正街西口向东100米</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9AD9EF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51.89</w:t>
            </w:r>
          </w:p>
        </w:tc>
      </w:tr>
      <w:tr w14:paraId="293B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16A75C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A3740D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东关南街</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BE51E0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东关南街与东关正街丁字路口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24028B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64.37</w:t>
            </w:r>
          </w:p>
        </w:tc>
      </w:tr>
      <w:tr w14:paraId="5A6E5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BC88B9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DC718B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古新巷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DDD9AA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古新巷西口向东50米</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8F47BB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42.02</w:t>
            </w:r>
          </w:p>
        </w:tc>
      </w:tr>
      <w:tr w14:paraId="6EA5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E29531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9BBBE6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大新巷</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5F6DB0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大新巷小区门口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D66BB9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23.89</w:t>
            </w:r>
          </w:p>
        </w:tc>
      </w:tr>
      <w:tr w14:paraId="478F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383FE0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5610BC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兴庆西路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CC1070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柿园路至咸宁西路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44A446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1446.68</w:t>
            </w:r>
          </w:p>
        </w:tc>
      </w:tr>
      <w:tr w14:paraId="5C1E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9E7BE3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16</w:t>
            </w:r>
          </w:p>
          <w:p w14:paraId="6488730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08A0D7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交大门口</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F49BAE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交大北门口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927E87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186.96</w:t>
            </w:r>
          </w:p>
        </w:tc>
      </w:tr>
      <w:tr w14:paraId="642C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84DE518">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6D0A1A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仁厚庄南路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B1A1FE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高山流水星座楼下</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535224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116.1</w:t>
            </w:r>
          </w:p>
        </w:tc>
      </w:tr>
      <w:tr w14:paraId="4A91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E73CFA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18</w:t>
            </w:r>
          </w:p>
          <w:p w14:paraId="2AF2381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61A618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咸宁西路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4900D6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咸宁西路与东二环路口向西100米</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DB01C4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141.72</w:t>
            </w:r>
          </w:p>
        </w:tc>
      </w:tr>
      <w:tr w14:paraId="73733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2C9CD2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8840AF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新郭门</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64D73D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新郭门</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22FC24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16.28</w:t>
            </w:r>
          </w:p>
        </w:tc>
      </w:tr>
      <w:tr w14:paraId="3BA51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FA0A38D">
            <w:pPr>
              <w:kinsoku/>
              <w:autoSpaceDE/>
              <w:autoSpaceDN/>
              <w:adjustRightInd/>
              <w:snapToGrid/>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合计</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02255B4">
            <w:pPr>
              <w:kinsoku/>
              <w:autoSpaceDE/>
              <w:autoSpaceDN/>
              <w:adjustRightInd/>
              <w:snapToGrid/>
              <w:jc w:val="center"/>
              <w:textAlignment w:val="auto"/>
              <w:rPr>
                <w:rFonts w:hint="eastAsia" w:ascii="仿宋_GB2312" w:hAnsi="仿宋_GB2312" w:eastAsia="仿宋_GB2312" w:cs="仿宋_GB2312"/>
                <w:snapToGrid/>
                <w:sz w:val="21"/>
                <w:szCs w:val="21"/>
                <w:lang w:eastAsia="zh-CN"/>
              </w:rPr>
            </w:pP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8FB099E">
            <w:pPr>
              <w:kinsoku/>
              <w:autoSpaceDE/>
              <w:autoSpaceDN/>
              <w:adjustRightInd/>
              <w:snapToGrid/>
              <w:jc w:val="center"/>
              <w:textAlignment w:val="auto"/>
              <w:rPr>
                <w:rFonts w:hint="eastAsia" w:ascii="仿宋_GB2312" w:hAnsi="仿宋_GB2312" w:eastAsia="仿宋_GB2312" w:cs="仿宋_GB2312"/>
                <w:snapToGrid/>
                <w:sz w:val="21"/>
                <w:szCs w:val="21"/>
                <w:lang w:eastAsia="zh-CN"/>
              </w:rPr>
            </w:pPr>
          </w:p>
        </w:tc>
        <w:tc>
          <w:tcPr>
            <w:tcW w:w="961" w:type="pct"/>
            <w:tcBorders>
              <w:top w:val="single" w:color="auto" w:sz="4" w:space="0"/>
              <w:left w:val="single" w:color="auto" w:sz="4" w:space="0"/>
              <w:bottom w:val="single" w:color="auto" w:sz="4" w:space="0"/>
              <w:right w:val="single" w:color="auto" w:sz="4" w:space="0"/>
            </w:tcBorders>
            <w:noWrap w:val="0"/>
            <w:vAlign w:val="center"/>
          </w:tcPr>
          <w:p w14:paraId="32C84C13">
            <w:pPr>
              <w:kinsoku/>
              <w:autoSpaceDE/>
              <w:autoSpaceDN/>
              <w:adjustRightInd/>
              <w:snapToGrid/>
              <w:jc w:val="center"/>
              <w:textAlignment w:val="center"/>
              <w:rPr>
                <w:rFonts w:hint="eastAsia" w:ascii="仿宋_GB2312" w:hAnsi="仿宋_GB2312" w:eastAsia="仿宋_GB2312" w:cs="仿宋_GB2312"/>
                <w:b/>
                <w:bCs/>
                <w:snapToGrid/>
                <w:sz w:val="21"/>
                <w:szCs w:val="21"/>
                <w:lang w:val="en-US" w:eastAsia="zh-CN"/>
              </w:rPr>
            </w:pPr>
            <w:r>
              <w:rPr>
                <w:rFonts w:hint="eastAsia" w:ascii="仿宋_GB2312" w:hAnsi="仿宋_GB2312" w:eastAsia="仿宋_GB2312" w:cs="仿宋_GB2312"/>
                <w:b/>
                <w:bCs/>
                <w:snapToGrid/>
                <w:sz w:val="21"/>
                <w:szCs w:val="21"/>
                <w:lang w:val="en-US" w:eastAsia="zh-CN"/>
              </w:rPr>
              <w:t>25645.79</w:t>
            </w:r>
          </w:p>
        </w:tc>
      </w:tr>
    </w:tbl>
    <w:p w14:paraId="577932A2">
      <w:pPr>
        <w:kinsoku/>
        <w:autoSpaceDE/>
        <w:autoSpaceDN/>
        <w:adjustRightInd/>
        <w:snapToGrid/>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br w:type="page"/>
      </w:r>
    </w:p>
    <w:p w14:paraId="3BD82F27">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文艺路街办街头绿地广场明细表</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
        <w:gridCol w:w="2824"/>
        <w:gridCol w:w="3624"/>
        <w:gridCol w:w="1638"/>
      </w:tblGrid>
      <w:tr w14:paraId="0B2E2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79CC39B">
            <w:pPr>
              <w:kinsoku/>
              <w:autoSpaceDE/>
              <w:autoSpaceDN/>
              <w:adjustRightInd/>
              <w:snapToGrid/>
              <w:spacing w:line="50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序号</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18F6A55">
            <w:pPr>
              <w:kinsoku/>
              <w:autoSpaceDE/>
              <w:autoSpaceDN/>
              <w:adjustRightInd/>
              <w:snapToGrid/>
              <w:spacing w:line="50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名称</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127D5FD">
            <w:pPr>
              <w:kinsoku/>
              <w:autoSpaceDE/>
              <w:autoSpaceDN/>
              <w:adjustRightInd/>
              <w:snapToGrid/>
              <w:spacing w:line="50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地址</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9E15B6B">
            <w:pPr>
              <w:kinsoku/>
              <w:autoSpaceDE/>
              <w:autoSpaceDN/>
              <w:adjustRightInd/>
              <w:snapToGrid/>
              <w:spacing w:line="50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规模㎡</w:t>
            </w:r>
          </w:p>
        </w:tc>
      </w:tr>
      <w:tr w14:paraId="2A794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D1B5AA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1990ED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中铁一局友谊广场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99A135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李家村十字东北角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D73CBF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874.65</w:t>
            </w:r>
          </w:p>
        </w:tc>
      </w:tr>
      <w:tr w14:paraId="1E39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8EA3BE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116F77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百脑汇广场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6E21D8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雁塔路与建设路十字西南角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F3D764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547.53</w:t>
            </w:r>
          </w:p>
        </w:tc>
      </w:tr>
      <w:tr w14:paraId="2343F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69E96D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68B679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煤科院广场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484D85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雁塔路煤科分院门前</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BD705E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231.02</w:t>
            </w:r>
          </w:p>
        </w:tc>
      </w:tr>
      <w:tr w14:paraId="34B4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CBCCD7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9583C8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泰华世纪新城</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DB3050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文艺路泰华世纪门前</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3902CC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w:t>
            </w:r>
            <w:r>
              <w:rPr>
                <w:rFonts w:hint="eastAsia" w:ascii="仿宋_GB2312" w:hAnsi="仿宋_GB2312" w:eastAsia="仿宋_GB2312" w:cs="仿宋_GB2312"/>
                <w:b w:val="0"/>
                <w:bCs w:val="0"/>
                <w:snapToGrid/>
                <w:sz w:val="21"/>
                <w:szCs w:val="21"/>
                <w:lang w:val="en-US" w:eastAsia="zh-CN"/>
              </w:rPr>
              <w:t>44</w:t>
            </w:r>
            <w:r>
              <w:rPr>
                <w:rFonts w:hint="eastAsia" w:ascii="仿宋_GB2312" w:hAnsi="仿宋_GB2312" w:eastAsia="仿宋_GB2312" w:cs="仿宋_GB2312"/>
                <w:b w:val="0"/>
                <w:bCs w:val="0"/>
                <w:snapToGrid/>
                <w:sz w:val="21"/>
                <w:szCs w:val="21"/>
                <w:lang w:eastAsia="zh-CN"/>
              </w:rPr>
              <w:t>.80</w:t>
            </w:r>
          </w:p>
        </w:tc>
      </w:tr>
      <w:tr w14:paraId="638C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B4B3AC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122312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中铁一局广场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2DE493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雁塔路中铁一局门前</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9F263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255.2</w:t>
            </w:r>
          </w:p>
        </w:tc>
      </w:tr>
      <w:tr w14:paraId="50A6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644211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0AE318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友谊东路绿化带</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3E527E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安西街南口至李家村十字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641E75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1356.71</w:t>
            </w:r>
          </w:p>
        </w:tc>
      </w:tr>
      <w:tr w14:paraId="616A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B13DB0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7F9E34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建设东路花坛</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8763E7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建设东路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764204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5</w:t>
            </w:r>
            <w:r>
              <w:rPr>
                <w:rFonts w:hint="eastAsia" w:ascii="仿宋_GB2312" w:hAnsi="仿宋_GB2312" w:eastAsia="仿宋_GB2312" w:cs="仿宋_GB2312"/>
                <w:b w:val="0"/>
                <w:bCs w:val="0"/>
                <w:snapToGrid/>
                <w:sz w:val="21"/>
                <w:szCs w:val="21"/>
                <w:lang w:eastAsia="zh-CN"/>
              </w:rPr>
              <w:t>85.54</w:t>
            </w:r>
          </w:p>
        </w:tc>
      </w:tr>
      <w:tr w14:paraId="1B30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63C5B5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C1AF40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文艺北路绿化带</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4348247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绿化带</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C27A32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3993.74</w:t>
            </w:r>
          </w:p>
        </w:tc>
      </w:tr>
      <w:tr w14:paraId="4A5E6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EA0066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1B4A6E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华润万家</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43D80D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雁塔北路69号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C9708D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151.83</w:t>
            </w:r>
          </w:p>
        </w:tc>
      </w:tr>
      <w:tr w14:paraId="2514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17F6EC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9DE0B6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东新科贸绿地小广场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F8300D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雁塔北路中段路西东新科贸门前</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404939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336.21</w:t>
            </w:r>
          </w:p>
        </w:tc>
      </w:tr>
      <w:tr w14:paraId="4DAA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B97E23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5D5492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明胜路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2EF9CB9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明胜路东段路南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EC71CD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206.66</w:t>
            </w:r>
          </w:p>
        </w:tc>
      </w:tr>
      <w:tr w14:paraId="45D65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F081C5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8C70AF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长胜街</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48D48A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长胜街（友谊东路-环城南路）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1F8F2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2424.27</w:t>
            </w:r>
          </w:p>
        </w:tc>
      </w:tr>
      <w:tr w14:paraId="681D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2C4DDC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B8C4F2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地铁李家村站</w:t>
            </w:r>
            <w:r>
              <w:rPr>
                <w:rFonts w:hint="eastAsia" w:ascii="仿宋_GB2312" w:hAnsi="仿宋_GB2312" w:eastAsia="仿宋_GB2312" w:cs="仿宋_GB2312"/>
                <w:b w:val="0"/>
                <w:bCs w:val="0"/>
                <w:snapToGrid/>
                <w:sz w:val="21"/>
                <w:szCs w:val="21"/>
                <w:lang w:val="en-US" w:eastAsia="zh-CN"/>
              </w:rPr>
              <w:t>B口</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F13F80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地铁李家村站</w:t>
            </w:r>
            <w:r>
              <w:rPr>
                <w:rFonts w:hint="eastAsia" w:ascii="仿宋_GB2312" w:hAnsi="仿宋_GB2312" w:eastAsia="仿宋_GB2312" w:cs="仿宋_GB2312"/>
                <w:b w:val="0"/>
                <w:bCs w:val="0"/>
                <w:snapToGrid/>
                <w:sz w:val="21"/>
                <w:szCs w:val="21"/>
                <w:lang w:val="en-US" w:eastAsia="zh-CN"/>
              </w:rPr>
              <w:t>B口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239850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1053.88</w:t>
            </w:r>
          </w:p>
        </w:tc>
      </w:tr>
      <w:tr w14:paraId="56FE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3D7634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E982F9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建西街</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93C164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建西街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65D37D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3</w:t>
            </w:r>
            <w:r>
              <w:rPr>
                <w:rFonts w:hint="eastAsia" w:ascii="仿宋_GB2312" w:hAnsi="仿宋_GB2312" w:eastAsia="仿宋_GB2312" w:cs="仿宋_GB2312"/>
                <w:b w:val="0"/>
                <w:bCs w:val="0"/>
                <w:snapToGrid/>
                <w:sz w:val="21"/>
                <w:szCs w:val="21"/>
                <w:lang w:eastAsia="zh-CN"/>
              </w:rPr>
              <w:t>48.72</w:t>
            </w:r>
          </w:p>
        </w:tc>
      </w:tr>
      <w:tr w14:paraId="39B0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FB70AD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2F92B6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恒兴文艺广场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25A7B2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文艺西路东口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54D634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21.72</w:t>
            </w:r>
          </w:p>
        </w:tc>
      </w:tr>
      <w:tr w14:paraId="3894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C6CA37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ADA9D2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测绘西路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EEBEE7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测绘西路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B57607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154.06</w:t>
            </w:r>
          </w:p>
        </w:tc>
      </w:tr>
      <w:tr w14:paraId="48BF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0B65D4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8AE4B2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测绘东路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618FB6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测绘东路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3FB18E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97.79</w:t>
            </w:r>
          </w:p>
        </w:tc>
      </w:tr>
      <w:tr w14:paraId="2B02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CDA31E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A7A5B6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友谊东路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8286D1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建筑科技大学北门</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64AB16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181.63</w:t>
            </w:r>
          </w:p>
        </w:tc>
      </w:tr>
      <w:tr w14:paraId="27B02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627361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5DD9E3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鲁家村路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FA6134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鲁家村路及鲁家村南巷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41059F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247.92</w:t>
            </w:r>
          </w:p>
        </w:tc>
      </w:tr>
      <w:tr w14:paraId="1AAD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1A4745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7B41BA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雁塔北路南口路东</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BE2F16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赛格电脑城对面</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7734ED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1</w:t>
            </w:r>
            <w:r>
              <w:rPr>
                <w:rFonts w:hint="eastAsia" w:ascii="仿宋_GB2312" w:hAnsi="仿宋_GB2312" w:eastAsia="仿宋_GB2312" w:cs="仿宋_GB2312"/>
                <w:b w:val="0"/>
                <w:bCs w:val="0"/>
                <w:snapToGrid/>
                <w:sz w:val="21"/>
                <w:szCs w:val="21"/>
                <w:lang w:val="en-US" w:eastAsia="zh-CN"/>
              </w:rPr>
              <w:t>20</w:t>
            </w:r>
            <w:r>
              <w:rPr>
                <w:rFonts w:hint="eastAsia" w:ascii="仿宋_GB2312" w:hAnsi="仿宋_GB2312" w:eastAsia="仿宋_GB2312" w:cs="仿宋_GB2312"/>
                <w:b w:val="0"/>
                <w:bCs w:val="0"/>
                <w:snapToGrid/>
                <w:sz w:val="21"/>
                <w:szCs w:val="21"/>
                <w:lang w:eastAsia="zh-CN"/>
              </w:rPr>
              <w:t>.</w:t>
            </w:r>
            <w:r>
              <w:rPr>
                <w:rFonts w:hint="eastAsia" w:ascii="仿宋_GB2312" w:hAnsi="仿宋_GB2312" w:eastAsia="仿宋_GB2312" w:cs="仿宋_GB2312"/>
                <w:b w:val="0"/>
                <w:bCs w:val="0"/>
                <w:snapToGrid/>
                <w:sz w:val="21"/>
                <w:szCs w:val="21"/>
                <w:lang w:val="en-US" w:eastAsia="zh-CN"/>
              </w:rPr>
              <w:t>54</w:t>
            </w:r>
          </w:p>
        </w:tc>
      </w:tr>
      <w:tr w14:paraId="3D2F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A3750C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33892C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环城南路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0A3F417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文艺北路至安西街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81BA66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992.74</w:t>
            </w:r>
          </w:p>
        </w:tc>
      </w:tr>
      <w:tr w14:paraId="7937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A3D1A81">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1C4294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李家村路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EC777F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李家村路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0AFB7E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83.28</w:t>
            </w:r>
          </w:p>
        </w:tc>
      </w:tr>
      <w:tr w14:paraId="3813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2343C3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D6DE58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建设路与测绘西路.测绘东路之间路南侧</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50E857A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空军986医院北门西侧</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220E48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59</w:t>
            </w:r>
          </w:p>
        </w:tc>
      </w:tr>
      <w:tr w14:paraId="6217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A51CD8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CECE7F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体育馆路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EB24E2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体育馆路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BCC8AF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65.29</w:t>
            </w:r>
          </w:p>
        </w:tc>
      </w:tr>
      <w:tr w14:paraId="781C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AFB31C8">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8ADB70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仁义路东口路北</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6B48BB48">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仁义路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BDED56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34.04</w:t>
            </w:r>
          </w:p>
        </w:tc>
      </w:tr>
      <w:tr w14:paraId="5E93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9D3C7D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26676F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群众艺术馆</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3B5FC53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p>
        </w:tc>
        <w:tc>
          <w:tcPr>
            <w:tcW w:w="961" w:type="pct"/>
            <w:tcBorders>
              <w:top w:val="single" w:color="auto" w:sz="4" w:space="0"/>
              <w:left w:val="single" w:color="auto" w:sz="4" w:space="0"/>
              <w:bottom w:val="single" w:color="auto" w:sz="4" w:space="0"/>
              <w:right w:val="single" w:color="auto" w:sz="4" w:space="0"/>
            </w:tcBorders>
            <w:noWrap w:val="0"/>
            <w:vAlign w:val="center"/>
          </w:tcPr>
          <w:p w14:paraId="06FA308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53</w:t>
            </w:r>
          </w:p>
        </w:tc>
      </w:tr>
      <w:tr w14:paraId="1089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587C71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809462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华清广场</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125B2C5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友谊路与雁塔路十字东南角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B2C8F38">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244.88</w:t>
            </w:r>
          </w:p>
        </w:tc>
      </w:tr>
      <w:tr w14:paraId="4F05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6157822">
            <w:pPr>
              <w:kinsoku/>
              <w:autoSpaceDE/>
              <w:autoSpaceDN/>
              <w:adjustRightInd/>
              <w:snapToGrid/>
              <w:jc w:val="center"/>
              <w:textAlignment w:val="auto"/>
              <w:rPr>
                <w:rFonts w:hint="default"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7E9A58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雁塔北路、和平路</w:t>
            </w: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251F77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雁塔北路、和平路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9A8D92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11050.25</w:t>
            </w:r>
          </w:p>
        </w:tc>
      </w:tr>
      <w:tr w14:paraId="5259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258C151">
            <w:pPr>
              <w:kinsoku/>
              <w:autoSpaceDE/>
              <w:autoSpaceDN/>
              <w:adjustRightInd/>
              <w:snapToGrid/>
              <w:spacing w:line="500" w:lineRule="exact"/>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t>合计</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4F099EA">
            <w:pPr>
              <w:kinsoku/>
              <w:autoSpaceDE/>
              <w:autoSpaceDN/>
              <w:adjustRightInd/>
              <w:snapToGrid/>
              <w:spacing w:line="500" w:lineRule="exact"/>
              <w:jc w:val="center"/>
              <w:textAlignment w:val="auto"/>
              <w:rPr>
                <w:rFonts w:hint="eastAsia" w:ascii="仿宋_GB2312" w:hAnsi="仿宋_GB2312" w:eastAsia="仿宋_GB2312" w:cs="仿宋_GB2312"/>
                <w:snapToGrid/>
                <w:sz w:val="21"/>
                <w:szCs w:val="21"/>
                <w:lang w:eastAsia="zh-CN"/>
              </w:rPr>
            </w:pPr>
          </w:p>
        </w:tc>
        <w:tc>
          <w:tcPr>
            <w:tcW w:w="2126" w:type="pct"/>
            <w:tcBorders>
              <w:top w:val="single" w:color="auto" w:sz="4" w:space="0"/>
              <w:left w:val="single" w:color="auto" w:sz="4" w:space="0"/>
              <w:bottom w:val="single" w:color="auto" w:sz="4" w:space="0"/>
              <w:right w:val="single" w:color="auto" w:sz="4" w:space="0"/>
            </w:tcBorders>
            <w:noWrap w:val="0"/>
            <w:vAlign w:val="center"/>
          </w:tcPr>
          <w:p w14:paraId="7A7939EC">
            <w:pPr>
              <w:kinsoku/>
              <w:autoSpaceDE/>
              <w:autoSpaceDN/>
              <w:adjustRightInd/>
              <w:snapToGrid/>
              <w:spacing w:line="500" w:lineRule="exact"/>
              <w:jc w:val="center"/>
              <w:textAlignment w:val="auto"/>
              <w:rPr>
                <w:rFonts w:hint="eastAsia" w:ascii="仿宋_GB2312" w:hAnsi="仿宋_GB2312" w:eastAsia="仿宋_GB2312" w:cs="仿宋_GB2312"/>
                <w:snapToGrid/>
                <w:sz w:val="21"/>
                <w:szCs w:val="21"/>
                <w:lang w:eastAsia="zh-CN"/>
              </w:rPr>
            </w:pPr>
          </w:p>
        </w:tc>
        <w:tc>
          <w:tcPr>
            <w:tcW w:w="961" w:type="pct"/>
            <w:tcBorders>
              <w:top w:val="single" w:color="auto" w:sz="4" w:space="0"/>
              <w:left w:val="single" w:color="auto" w:sz="4" w:space="0"/>
              <w:bottom w:val="single" w:color="auto" w:sz="4" w:space="0"/>
              <w:right w:val="single" w:color="auto" w:sz="4" w:space="0"/>
            </w:tcBorders>
            <w:noWrap w:val="0"/>
            <w:vAlign w:val="center"/>
          </w:tcPr>
          <w:p w14:paraId="06819876">
            <w:pPr>
              <w:kinsoku/>
              <w:autoSpaceDE/>
              <w:autoSpaceDN/>
              <w:adjustRightInd/>
              <w:snapToGrid/>
              <w:jc w:val="center"/>
              <w:textAlignment w:val="center"/>
              <w:rPr>
                <w:rFonts w:hint="default" w:ascii="仿宋_GB2312" w:hAnsi="仿宋_GB2312" w:eastAsia="仿宋_GB2312" w:cs="仿宋_GB2312"/>
                <w:b/>
                <w:bCs/>
                <w:snapToGrid/>
                <w:sz w:val="21"/>
                <w:szCs w:val="21"/>
                <w:lang w:val="en-US" w:eastAsia="zh-CN"/>
              </w:rPr>
            </w:pPr>
            <w:r>
              <w:rPr>
                <w:rFonts w:hint="eastAsia" w:ascii="仿宋_GB2312" w:hAnsi="仿宋_GB2312" w:eastAsia="仿宋_GB2312" w:cs="仿宋_GB2312"/>
                <w:b/>
                <w:bCs/>
                <w:snapToGrid/>
                <w:sz w:val="21"/>
                <w:szCs w:val="21"/>
                <w:lang w:val="en-US" w:eastAsia="zh-CN"/>
              </w:rPr>
              <w:t>28216.9</w:t>
            </w:r>
          </w:p>
        </w:tc>
      </w:tr>
    </w:tbl>
    <w:p w14:paraId="6D693320">
      <w:pPr>
        <w:kinsoku/>
        <w:autoSpaceDE/>
        <w:autoSpaceDN/>
        <w:adjustRightInd/>
        <w:snapToGrid/>
        <w:spacing w:afterLines="50"/>
        <w:textAlignment w:val="auto"/>
        <w:rPr>
          <w:rFonts w:hint="eastAsia" w:ascii="仿宋_GB2312" w:hAnsi="仿宋_GB2312" w:eastAsia="仿宋_GB2312" w:cs="仿宋_GB2312"/>
          <w:snapToGrid/>
          <w:sz w:val="21"/>
          <w:szCs w:val="21"/>
          <w:lang w:eastAsia="zh-CN"/>
        </w:rPr>
      </w:pPr>
    </w:p>
    <w:p w14:paraId="63228AB2">
      <w:pPr>
        <w:kinsoku/>
        <w:autoSpaceDE/>
        <w:autoSpaceDN/>
        <w:adjustRightInd/>
        <w:snapToGrid/>
        <w:spacing w:afterLines="50"/>
        <w:textAlignment w:val="auto"/>
        <w:rPr>
          <w:rFonts w:hint="eastAsia" w:ascii="仿宋_GB2312" w:hAnsi="仿宋_GB2312" w:eastAsia="仿宋_GB2312" w:cs="仿宋_GB2312"/>
          <w:snapToGrid/>
          <w:sz w:val="21"/>
          <w:szCs w:val="21"/>
          <w:lang w:eastAsia="zh-CN"/>
        </w:rPr>
      </w:pPr>
    </w:p>
    <w:p w14:paraId="6F961015">
      <w:pPr>
        <w:kinsoku/>
        <w:autoSpaceDE/>
        <w:autoSpaceDN/>
        <w:adjustRightInd/>
        <w:snapToGrid/>
        <w:spacing w:afterLines="50"/>
        <w:textAlignment w:val="auto"/>
        <w:rPr>
          <w:rFonts w:hint="eastAsia" w:ascii="仿宋_GB2312" w:hAnsi="仿宋_GB2312" w:eastAsia="仿宋_GB2312" w:cs="仿宋_GB2312"/>
          <w:snapToGrid/>
          <w:sz w:val="21"/>
          <w:szCs w:val="21"/>
          <w:lang w:eastAsia="zh-CN"/>
        </w:rPr>
      </w:pPr>
    </w:p>
    <w:p w14:paraId="456B3FE9">
      <w:pPr>
        <w:kinsoku/>
        <w:autoSpaceDE/>
        <w:autoSpaceDN/>
        <w:adjustRightInd/>
        <w:snapToGrid/>
        <w:spacing w:afterLines="50"/>
        <w:jc w:val="center"/>
        <w:textAlignment w:val="auto"/>
        <w:rPr>
          <w:rFonts w:hint="eastAsia" w:ascii="仿宋_GB2312" w:hAnsi="仿宋_GB2312" w:eastAsia="仿宋_GB2312" w:cs="仿宋_GB2312"/>
          <w:snapToGrid/>
          <w:sz w:val="21"/>
          <w:szCs w:val="21"/>
          <w:lang w:eastAsia="zh-CN"/>
        </w:rPr>
      </w:pPr>
      <w:r>
        <w:rPr>
          <w:rFonts w:hint="eastAsia" w:ascii="仿宋_GB2312" w:hAnsi="仿宋_GB2312" w:eastAsia="仿宋_GB2312" w:cs="仿宋_GB2312"/>
          <w:snapToGrid/>
          <w:sz w:val="21"/>
          <w:szCs w:val="21"/>
          <w:lang w:eastAsia="zh-CN"/>
        </w:rPr>
        <w:br w:type="page"/>
      </w:r>
      <w:r>
        <w:rPr>
          <w:rFonts w:hint="eastAsia" w:ascii="仿宋_GB2312" w:hAnsi="仿宋_GB2312" w:eastAsia="仿宋_GB2312" w:cs="仿宋_GB2312"/>
          <w:snapToGrid/>
          <w:sz w:val="21"/>
          <w:szCs w:val="21"/>
          <w:lang w:eastAsia="zh-CN"/>
        </w:rPr>
        <w:t>张家村街办街头绿地广场明细表</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
        <w:gridCol w:w="2824"/>
        <w:gridCol w:w="3625"/>
        <w:gridCol w:w="1638"/>
      </w:tblGrid>
      <w:tr w14:paraId="3092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CB4CB13">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序号</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64DCD13">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名称</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A1512B2">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地址</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E3A3588">
            <w:pPr>
              <w:kinsoku/>
              <w:autoSpaceDE/>
              <w:autoSpaceDN/>
              <w:adjustRightInd/>
              <w:snapToGrid/>
              <w:spacing w:line="540" w:lineRule="exact"/>
              <w:jc w:val="center"/>
              <w:textAlignment w:val="auto"/>
              <w:rPr>
                <w:rFonts w:hint="eastAsia" w:ascii="仿宋_GB2312" w:hAnsi="仿宋_GB2312" w:eastAsia="仿宋_GB2312" w:cs="仿宋_GB2312"/>
                <w:b/>
                <w:snapToGrid/>
                <w:sz w:val="21"/>
                <w:szCs w:val="21"/>
                <w:lang w:eastAsia="zh-CN"/>
              </w:rPr>
            </w:pPr>
            <w:r>
              <w:rPr>
                <w:rFonts w:hint="eastAsia" w:ascii="仿宋_GB2312" w:hAnsi="仿宋_GB2312" w:eastAsia="仿宋_GB2312" w:cs="仿宋_GB2312"/>
                <w:b/>
                <w:snapToGrid/>
                <w:sz w:val="21"/>
                <w:szCs w:val="21"/>
                <w:lang w:eastAsia="zh-CN"/>
              </w:rPr>
              <w:t>规模㎡</w:t>
            </w:r>
          </w:p>
        </w:tc>
      </w:tr>
      <w:tr w14:paraId="6EB2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55C52E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311030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西北大学广场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D463A0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环城路与太白路十字东南角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51BB9C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167.07</w:t>
            </w:r>
          </w:p>
        </w:tc>
      </w:tr>
      <w:tr w14:paraId="20F2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F93465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6AAE96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西荷广场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322BF4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太白路立交东北角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265DED6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3070.78</w:t>
            </w:r>
          </w:p>
        </w:tc>
      </w:tr>
      <w:tr w14:paraId="01C5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EA5519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BEB263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红星美凯龙</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9B6B45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太白路立交东北角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20CD90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977.36</w:t>
            </w:r>
          </w:p>
        </w:tc>
      </w:tr>
      <w:tr w14:paraId="2CDA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FBB00F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FA7FB4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怡丰城</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311383D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太白路立交西北角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D43B87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857.51</w:t>
            </w:r>
          </w:p>
        </w:tc>
      </w:tr>
      <w:tr w14:paraId="4F27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9AAF84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ABBBCF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医学院广场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564ADD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含光路与兴化巷丁字口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42E411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232.78</w:t>
            </w:r>
          </w:p>
        </w:tc>
      </w:tr>
      <w:tr w14:paraId="44D8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DD2908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C78B42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边东街广场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76A9B7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边东街中段路东</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6ECF73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463.85</w:t>
            </w:r>
          </w:p>
        </w:tc>
      </w:tr>
      <w:tr w14:paraId="7E77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437C2C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4F349D3">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含光路绿化带</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58EA85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南二环至含光门</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3F24F7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8782.46</w:t>
            </w:r>
          </w:p>
        </w:tc>
      </w:tr>
      <w:tr w14:paraId="0BA7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6B7F37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C3B205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二保绿化带</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3A5052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二保北侧围墙外</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1A2EDE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34.06</w:t>
            </w:r>
          </w:p>
        </w:tc>
      </w:tr>
      <w:tr w14:paraId="4EF8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E669E0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C6CAA5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延康东巷中段绿化带</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4F2071F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中段南侧绿化带</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7B9828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914.86</w:t>
            </w:r>
          </w:p>
        </w:tc>
      </w:tr>
      <w:tr w14:paraId="0604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1DD8E48">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D92DFC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太白北路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064DEF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太白北路全段</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1DD9AC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1362.80</w:t>
            </w:r>
          </w:p>
        </w:tc>
      </w:tr>
      <w:tr w14:paraId="2C76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1CB236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65A79F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大学南路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FD2C65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全段</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B7958F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1696.72</w:t>
            </w:r>
          </w:p>
        </w:tc>
      </w:tr>
      <w:tr w14:paraId="382B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43DAFC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EB33D5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友谊西路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0B199E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黄雁村十字-</w:t>
            </w:r>
            <w:r>
              <w:rPr>
                <w:rFonts w:hint="eastAsia" w:ascii="仿宋_GB2312" w:hAnsi="仿宋_GB2312" w:eastAsia="仿宋_GB2312" w:cs="仿宋_GB2312"/>
                <w:b w:val="0"/>
                <w:bCs w:val="0"/>
                <w:snapToGrid/>
                <w:sz w:val="21"/>
                <w:szCs w:val="21"/>
                <w:lang w:val="en-US" w:eastAsia="zh-CN"/>
              </w:rPr>
              <w:t>边</w:t>
            </w:r>
            <w:r>
              <w:rPr>
                <w:rFonts w:hint="eastAsia" w:ascii="仿宋_GB2312" w:hAnsi="仿宋_GB2312" w:eastAsia="仿宋_GB2312" w:cs="仿宋_GB2312"/>
                <w:b w:val="0"/>
                <w:bCs w:val="0"/>
                <w:snapToGrid/>
                <w:sz w:val="21"/>
                <w:szCs w:val="21"/>
                <w:lang w:eastAsia="zh-CN"/>
              </w:rPr>
              <w:t>家村十字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372A678">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6092.35</w:t>
            </w:r>
          </w:p>
        </w:tc>
      </w:tr>
      <w:tr w14:paraId="74CC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70612D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1CD2E9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大学南路东口绿地小广场</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B64F62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含光路中段与大学南路东口路北小广场</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AEE14E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78.21</w:t>
            </w:r>
          </w:p>
        </w:tc>
      </w:tr>
      <w:tr w14:paraId="13C6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F21B710">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2B81432">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通义巷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4B87B5D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通义巷（边西街-太白北路）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2D446B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373.09</w:t>
            </w:r>
          </w:p>
        </w:tc>
      </w:tr>
      <w:tr w14:paraId="350F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E422D0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4BA35DC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水文巷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137ED1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水文巷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398EB7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1756.53</w:t>
            </w:r>
          </w:p>
        </w:tc>
      </w:tr>
      <w:tr w14:paraId="4879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4D0E92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D7DC320">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水文东巷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E3225D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水文东巷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09850C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44.89</w:t>
            </w:r>
          </w:p>
        </w:tc>
      </w:tr>
      <w:tr w14:paraId="6C54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ABD93F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19F66B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邮电北巷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6D74B1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邮电北巷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DAAFAC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323.22</w:t>
            </w:r>
          </w:p>
        </w:tc>
      </w:tr>
      <w:tr w14:paraId="3F34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23D3B4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BFBB31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邮电南巷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FE0759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邮电南巷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02D25AC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234.87</w:t>
            </w:r>
          </w:p>
        </w:tc>
      </w:tr>
      <w:tr w14:paraId="052F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D88710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B38F87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延康巷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0E2313C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延康巷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18A83A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201.93</w:t>
            </w:r>
          </w:p>
        </w:tc>
      </w:tr>
      <w:tr w14:paraId="6284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25CF88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DB00DB4">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西工大路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0A3815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西工大路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D1CD08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109.8</w:t>
            </w:r>
          </w:p>
        </w:tc>
      </w:tr>
      <w:tr w14:paraId="5F0B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F5F808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21</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6BF9D8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兴化巷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240EBF6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兴化巷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74ABDD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78.85</w:t>
            </w:r>
          </w:p>
        </w:tc>
      </w:tr>
      <w:tr w14:paraId="29B2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4BC7AA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9B8E70A">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延康东巷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27CC7DC9">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延康东巷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4E7AD5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3</w:t>
            </w:r>
            <w:r>
              <w:rPr>
                <w:rFonts w:hint="eastAsia" w:ascii="仿宋_GB2312" w:hAnsi="仿宋_GB2312" w:eastAsia="仿宋_GB2312" w:cs="仿宋_GB2312"/>
                <w:b w:val="0"/>
                <w:bCs w:val="0"/>
                <w:snapToGrid/>
                <w:sz w:val="21"/>
                <w:szCs w:val="21"/>
                <w:lang w:eastAsia="zh-CN"/>
              </w:rPr>
              <w:t>1.93</w:t>
            </w:r>
          </w:p>
        </w:tc>
      </w:tr>
      <w:tr w14:paraId="3EF1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E6E1C5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B992C7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延康南巷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53C94EC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延康南巷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440E958">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168.38</w:t>
            </w:r>
          </w:p>
        </w:tc>
      </w:tr>
      <w:tr w14:paraId="29528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BBA0B3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4</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E1FAB8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边西街</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61CC2C2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边西街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95C3F0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141.47</w:t>
            </w:r>
          </w:p>
        </w:tc>
      </w:tr>
      <w:tr w14:paraId="465F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0DE4F7F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5</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686BDD3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通义巷</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31E2158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通义巷</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483F567">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48.19</w:t>
            </w:r>
          </w:p>
        </w:tc>
      </w:tr>
      <w:tr w14:paraId="1787C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47124C3">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6</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4EFBD4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红缨路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7307E5DB">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红缨路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6FC4D345">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509.62</w:t>
            </w:r>
          </w:p>
        </w:tc>
      </w:tr>
      <w:tr w14:paraId="46F31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4D3FAF9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7</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1E6DA6EC">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大学东路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5DFC84A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大学东路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73C73B1E">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63.46</w:t>
            </w:r>
          </w:p>
        </w:tc>
      </w:tr>
      <w:tr w14:paraId="48D4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3B609FEB">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eastAsia="zh-CN"/>
              </w:rPr>
              <w:t>2</w:t>
            </w:r>
            <w:r>
              <w:rPr>
                <w:rFonts w:hint="eastAsia" w:ascii="仿宋_GB2312" w:hAnsi="仿宋_GB2312" w:eastAsia="仿宋_GB2312" w:cs="仿宋_GB2312"/>
                <w:b w:val="0"/>
                <w:bCs w:val="0"/>
                <w:snapToGrid/>
                <w:sz w:val="21"/>
                <w:szCs w:val="21"/>
                <w:lang w:val="en-US" w:eastAsia="zh-CN"/>
              </w:rPr>
              <w:t>8</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4ACC34F">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地铁黄雁村站</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EFCCB5D">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eastAsia="zh-CN"/>
              </w:rPr>
              <w:t>黄雁村十字东北角</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64EC47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909.19</w:t>
            </w:r>
          </w:p>
        </w:tc>
      </w:tr>
      <w:tr w14:paraId="7680E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8DF452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29</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786B2A96">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环城南路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A5292D1">
            <w:pPr>
              <w:kinsoku/>
              <w:autoSpaceDE/>
              <w:autoSpaceDN/>
              <w:adjustRightInd/>
              <w:snapToGrid/>
              <w:jc w:val="center"/>
              <w:textAlignment w:val="auto"/>
              <w:rPr>
                <w:rFonts w:hint="eastAsia" w:ascii="仿宋_GB2312" w:hAnsi="仿宋_GB2312" w:eastAsia="仿宋_GB2312" w:cs="仿宋_GB2312"/>
                <w:b w:val="0"/>
                <w:bCs w:val="0"/>
                <w:snapToGrid/>
                <w:sz w:val="21"/>
                <w:szCs w:val="21"/>
                <w:lang w:eastAsia="zh-CN"/>
              </w:rPr>
            </w:pPr>
            <w:r>
              <w:rPr>
                <w:rFonts w:hint="eastAsia" w:ascii="仿宋_GB2312" w:hAnsi="仿宋_GB2312" w:eastAsia="仿宋_GB2312" w:cs="仿宋_GB2312"/>
                <w:b w:val="0"/>
                <w:bCs w:val="0"/>
                <w:snapToGrid/>
                <w:sz w:val="21"/>
                <w:szCs w:val="21"/>
                <w:lang w:val="en-US" w:eastAsia="zh-CN"/>
              </w:rPr>
              <w:t>环城南路路南，太白路至朱雀大街</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56A71F7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36.33</w:t>
            </w:r>
          </w:p>
        </w:tc>
      </w:tr>
      <w:tr w14:paraId="450C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626D6CFA">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30</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258AC8CD">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南二环辅道</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B0E512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含光路南口与南二环辅道丁字口向东100米处</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35C36FB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189.19</w:t>
            </w:r>
          </w:p>
        </w:tc>
      </w:tr>
      <w:tr w14:paraId="653DA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7887FB0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31</w:t>
            </w:r>
          </w:p>
          <w:p w14:paraId="0BC1B034">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928E3A9">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白庙路</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2B4E68F7">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白庙路</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405682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144.66</w:t>
            </w:r>
          </w:p>
        </w:tc>
      </w:tr>
      <w:tr w14:paraId="3AF0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5232464E">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32</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555EEDD5">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白庙路口袋公园</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1711785C">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白庙路北口路东</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1CC5B17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1470.00</w:t>
            </w:r>
          </w:p>
        </w:tc>
      </w:tr>
      <w:tr w14:paraId="086F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2CAC8CF2">
            <w:pPr>
              <w:kinsoku/>
              <w:autoSpaceDE/>
              <w:autoSpaceDN/>
              <w:adjustRightInd/>
              <w:snapToGrid/>
              <w:jc w:val="center"/>
              <w:textAlignment w:val="auto"/>
              <w:rPr>
                <w:rFonts w:hint="default"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33</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01711CA2">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劳动路转盘</w:t>
            </w:r>
          </w:p>
        </w:tc>
        <w:tc>
          <w:tcPr>
            <w:tcW w:w="2127" w:type="pct"/>
            <w:tcBorders>
              <w:top w:val="single" w:color="auto" w:sz="4" w:space="0"/>
              <w:left w:val="single" w:color="auto" w:sz="4" w:space="0"/>
              <w:bottom w:val="single" w:color="auto" w:sz="4" w:space="0"/>
              <w:right w:val="single" w:color="auto" w:sz="4" w:space="0"/>
            </w:tcBorders>
            <w:noWrap w:val="0"/>
            <w:vAlign w:val="center"/>
          </w:tcPr>
          <w:p w14:paraId="243FBD2F">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劳动路与友谊西路交汇口</w:t>
            </w:r>
          </w:p>
        </w:tc>
        <w:tc>
          <w:tcPr>
            <w:tcW w:w="961" w:type="pct"/>
            <w:tcBorders>
              <w:top w:val="single" w:color="auto" w:sz="4" w:space="0"/>
              <w:left w:val="single" w:color="auto" w:sz="4" w:space="0"/>
              <w:bottom w:val="single" w:color="auto" w:sz="4" w:space="0"/>
              <w:right w:val="single" w:color="auto" w:sz="4" w:space="0"/>
            </w:tcBorders>
            <w:noWrap w:val="0"/>
            <w:vAlign w:val="center"/>
          </w:tcPr>
          <w:p w14:paraId="4835A6A6">
            <w:pPr>
              <w:kinsoku/>
              <w:autoSpaceDE/>
              <w:autoSpaceDN/>
              <w:adjustRightInd/>
              <w:snapToGrid/>
              <w:jc w:val="center"/>
              <w:textAlignment w:val="auto"/>
              <w:rPr>
                <w:rFonts w:hint="eastAsia" w:ascii="仿宋_GB2312" w:hAnsi="仿宋_GB2312" w:eastAsia="仿宋_GB2312" w:cs="仿宋_GB2312"/>
                <w:b w:val="0"/>
                <w:bCs w:val="0"/>
                <w:snapToGrid/>
                <w:sz w:val="21"/>
                <w:szCs w:val="21"/>
                <w:lang w:val="en-US" w:eastAsia="zh-CN"/>
              </w:rPr>
            </w:pPr>
            <w:r>
              <w:rPr>
                <w:rFonts w:hint="eastAsia" w:ascii="仿宋_GB2312" w:hAnsi="仿宋_GB2312" w:eastAsia="仿宋_GB2312" w:cs="仿宋_GB2312"/>
                <w:b w:val="0"/>
                <w:bCs w:val="0"/>
                <w:snapToGrid/>
                <w:sz w:val="21"/>
                <w:szCs w:val="21"/>
                <w:lang w:val="en-US" w:eastAsia="zh-CN"/>
              </w:rPr>
              <w:t>4562.52</w:t>
            </w:r>
          </w:p>
        </w:tc>
      </w:tr>
      <w:tr w14:paraId="72E9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254" w:type="pct"/>
            <w:tcBorders>
              <w:top w:val="single" w:color="auto" w:sz="4" w:space="0"/>
              <w:left w:val="single" w:color="auto" w:sz="4" w:space="0"/>
              <w:bottom w:val="single" w:color="auto" w:sz="4" w:space="0"/>
              <w:right w:val="single" w:color="auto" w:sz="4" w:space="0"/>
            </w:tcBorders>
            <w:noWrap w:val="0"/>
            <w:vAlign w:val="center"/>
          </w:tcPr>
          <w:p w14:paraId="1F87B139">
            <w:pPr>
              <w:kinsoku/>
              <w:autoSpaceDE/>
              <w:autoSpaceDN/>
              <w:adjustRightInd/>
              <w:snapToGrid/>
              <w:jc w:val="center"/>
              <w:textAlignment w:val="auto"/>
              <w:rPr>
                <w:rFonts w:hint="eastAsia" w:ascii="仿宋_GB2312" w:hAnsi="仿宋_GB2312" w:eastAsia="仿宋_GB2312" w:cs="仿宋_GB2312"/>
                <w:snapToGrid/>
                <w:sz w:val="21"/>
                <w:szCs w:val="21"/>
                <w:lang w:val="en-US" w:eastAsia="zh-CN" w:bidi="ar-SA"/>
              </w:rPr>
            </w:pPr>
            <w:r>
              <w:rPr>
                <w:rFonts w:hint="eastAsia" w:ascii="仿宋_GB2312" w:hAnsi="仿宋_GB2312" w:eastAsia="仿宋_GB2312" w:cs="仿宋_GB2312"/>
                <w:snapToGrid/>
                <w:sz w:val="21"/>
                <w:szCs w:val="21"/>
                <w:lang w:eastAsia="zh-CN"/>
              </w:rPr>
              <w:t>合计</w:t>
            </w:r>
          </w:p>
        </w:tc>
        <w:tc>
          <w:tcPr>
            <w:tcW w:w="1657" w:type="pct"/>
            <w:tcBorders>
              <w:top w:val="single" w:color="auto" w:sz="4" w:space="0"/>
              <w:left w:val="single" w:color="auto" w:sz="4" w:space="0"/>
              <w:bottom w:val="single" w:color="auto" w:sz="4" w:space="0"/>
              <w:right w:val="single" w:color="auto" w:sz="4" w:space="0"/>
            </w:tcBorders>
            <w:noWrap w:val="0"/>
            <w:vAlign w:val="center"/>
          </w:tcPr>
          <w:p w14:paraId="30092019">
            <w:pPr>
              <w:kinsoku/>
              <w:autoSpaceDE/>
              <w:autoSpaceDN/>
              <w:adjustRightInd/>
              <w:snapToGrid/>
              <w:jc w:val="center"/>
              <w:textAlignment w:val="auto"/>
              <w:rPr>
                <w:rFonts w:hint="eastAsia" w:ascii="仿宋_GB2312" w:hAnsi="仿宋_GB2312" w:eastAsia="仿宋_GB2312" w:cs="仿宋_GB2312"/>
                <w:snapToGrid/>
                <w:sz w:val="21"/>
                <w:szCs w:val="21"/>
                <w:lang w:val="en-US" w:eastAsia="zh-CN" w:bidi="ar-SA"/>
              </w:rPr>
            </w:pPr>
          </w:p>
        </w:tc>
        <w:tc>
          <w:tcPr>
            <w:tcW w:w="2127" w:type="pct"/>
            <w:tcBorders>
              <w:top w:val="single" w:color="auto" w:sz="4" w:space="0"/>
              <w:left w:val="single" w:color="auto" w:sz="4" w:space="0"/>
              <w:bottom w:val="single" w:color="auto" w:sz="4" w:space="0"/>
              <w:right w:val="single" w:color="auto" w:sz="4" w:space="0"/>
            </w:tcBorders>
            <w:noWrap w:val="0"/>
            <w:vAlign w:val="center"/>
          </w:tcPr>
          <w:p w14:paraId="5CCC0AD0">
            <w:pPr>
              <w:kinsoku/>
              <w:autoSpaceDE/>
              <w:autoSpaceDN/>
              <w:adjustRightInd/>
              <w:snapToGrid/>
              <w:jc w:val="center"/>
              <w:textAlignment w:val="auto"/>
              <w:rPr>
                <w:rFonts w:hint="eastAsia" w:ascii="仿宋_GB2312" w:hAnsi="仿宋_GB2312" w:eastAsia="仿宋_GB2312" w:cs="仿宋_GB2312"/>
                <w:snapToGrid/>
                <w:sz w:val="21"/>
                <w:szCs w:val="21"/>
                <w:lang w:val="en-US" w:eastAsia="zh-CN" w:bidi="ar-SA"/>
              </w:rPr>
            </w:pPr>
          </w:p>
        </w:tc>
        <w:tc>
          <w:tcPr>
            <w:tcW w:w="961" w:type="pct"/>
            <w:tcBorders>
              <w:top w:val="single" w:color="auto" w:sz="4" w:space="0"/>
              <w:left w:val="single" w:color="auto" w:sz="4" w:space="0"/>
              <w:bottom w:val="single" w:color="auto" w:sz="4" w:space="0"/>
              <w:right w:val="single" w:color="auto" w:sz="4" w:space="0"/>
            </w:tcBorders>
            <w:noWrap w:val="0"/>
            <w:vAlign w:val="center"/>
          </w:tcPr>
          <w:p w14:paraId="73AAE436">
            <w:pPr>
              <w:kinsoku/>
              <w:autoSpaceDE/>
              <w:autoSpaceDN/>
              <w:adjustRightInd/>
              <w:snapToGrid/>
              <w:jc w:val="center"/>
              <w:textAlignment w:val="auto"/>
              <w:rPr>
                <w:rFonts w:hint="default" w:ascii="仿宋_GB2312" w:hAnsi="仿宋_GB2312" w:eastAsia="仿宋_GB2312" w:cs="仿宋_GB2312"/>
                <w:b/>
                <w:bCs/>
                <w:snapToGrid/>
                <w:sz w:val="21"/>
                <w:szCs w:val="21"/>
                <w:lang w:val="en-US" w:eastAsia="zh-CN" w:bidi="ar-SA"/>
              </w:rPr>
            </w:pPr>
            <w:r>
              <w:rPr>
                <w:rFonts w:hint="eastAsia" w:ascii="仿宋_GB2312" w:hAnsi="仿宋_GB2312" w:eastAsia="仿宋_GB2312" w:cs="仿宋_GB2312"/>
                <w:b/>
                <w:bCs/>
                <w:snapToGrid/>
                <w:sz w:val="21"/>
                <w:szCs w:val="21"/>
                <w:lang w:val="en-US" w:eastAsia="zh-CN"/>
              </w:rPr>
              <w:t>36328.93</w:t>
            </w:r>
          </w:p>
        </w:tc>
      </w:tr>
    </w:tbl>
    <w:p w14:paraId="76C88178">
      <w:pPr>
        <w:tabs>
          <w:tab w:val="left" w:pos="3610"/>
        </w:tabs>
        <w:bidi w:val="0"/>
        <w:jc w:val="left"/>
        <w:rPr>
          <w:rFonts w:hint="eastAsia"/>
          <w:lang w:val="en-US" w:eastAsia="zh-CN"/>
        </w:rPr>
        <w:sectPr>
          <w:pgSz w:w="11906" w:h="16838"/>
          <w:pgMar w:top="1440" w:right="1800" w:bottom="1440" w:left="1800" w:header="851" w:footer="992" w:gutter="0"/>
          <w:cols w:space="720" w:num="1"/>
          <w:docGrid w:type="lines" w:linePitch="312" w:charSpace="0"/>
        </w:sectPr>
      </w:pPr>
    </w:p>
    <w:p w14:paraId="2A5B4D78"/>
    <w:p w14:paraId="76B11B62">
      <w:bookmarkStart w:id="0" w:name="_GoBack"/>
      <w:bookmarkEnd w:id="0"/>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7DBE0">
    <w:pPr>
      <w:snapToGrid w:val="0"/>
      <w:jc w:val="center"/>
      <w:rPr>
        <w:rFonts w:ascii="Calibri" w:hAnsi="Calibri" w:eastAsia="宋体" w:cs="Times New Roman"/>
        <w:sz w:val="18"/>
        <w:szCs w:val="18"/>
        <w:lang w:val="en-US" w:eastAsia="zh-CN" w:bidi="ar-SA"/>
      </w:rPr>
    </w:pPr>
    <w:r>
      <w:rPr>
        <w:rFonts w:hint="eastAsia" w:ascii="仿宋_GB2312" w:hAnsi="Calibri" w:eastAsia="仿宋_GB2312" w:cs="Times New Roman"/>
        <w:sz w:val="28"/>
        <w:szCs w:val="28"/>
        <w:lang w:val="en-US" w:eastAsia="zh-CN" w:bidi="ar-SA"/>
      </w:rPr>
      <w:fldChar w:fldCharType="begin"/>
    </w:r>
    <w:r>
      <w:rPr>
        <w:rFonts w:hint="eastAsia" w:ascii="仿宋_GB2312" w:hAnsi="Calibri" w:eastAsia="仿宋_GB2312" w:cs="Times New Roman"/>
        <w:sz w:val="28"/>
        <w:szCs w:val="28"/>
        <w:lang w:val="en-US" w:eastAsia="zh-CN" w:bidi="ar-SA"/>
      </w:rPr>
      <w:instrText xml:space="preserve"> PAGE   \* MERGEFORMAT </w:instrText>
    </w:r>
    <w:r>
      <w:rPr>
        <w:rFonts w:hint="eastAsia" w:ascii="仿宋_GB2312" w:hAnsi="Calibri" w:eastAsia="仿宋_GB2312" w:cs="Times New Roman"/>
        <w:sz w:val="28"/>
        <w:szCs w:val="28"/>
        <w:lang w:val="en-US" w:eastAsia="zh-CN" w:bidi="ar-SA"/>
      </w:rPr>
      <w:fldChar w:fldCharType="separate"/>
    </w:r>
    <w:r>
      <w:rPr>
        <w:rFonts w:ascii="仿宋_GB2312" w:hAnsi="Calibri" w:eastAsia="仿宋_GB2312" w:cs="Times New Roman"/>
        <w:sz w:val="28"/>
        <w:szCs w:val="28"/>
        <w:lang w:val="zh-CN" w:eastAsia="zh-CN" w:bidi="ar-SA"/>
      </w:rPr>
      <w:t>41</w:t>
    </w:r>
    <w:r>
      <w:rPr>
        <w:rFonts w:hint="eastAsia" w:ascii="仿宋_GB2312" w:hAnsi="Calibri" w:eastAsia="仿宋_GB2312" w:cs="Times New Roman"/>
        <w:sz w:val="28"/>
        <w:szCs w:val="28"/>
        <w:lang w:val="en-US" w:eastAsia="zh-CN" w:bidi="ar-SA"/>
      </w:rPr>
      <w:fldChar w:fldCharType="end"/>
    </w:r>
  </w:p>
  <w:p w14:paraId="401E6AD7">
    <w:pPr>
      <w:snapToGrid w:val="0"/>
      <w:jc w:val="left"/>
      <w:rPr>
        <w:rFonts w:ascii="Calibri" w:hAnsi="Calibri" w:eastAsia="宋体" w:cs="Times New Roman"/>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DB4B1">
    <w:pPr>
      <w:spacing w:line="14" w:lineRule="auto"/>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4E796"/>
    <w:multiLevelType w:val="singleLevel"/>
    <w:tmpl w:val="D1D4E796"/>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FD6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2026-01-16T03:04:23Z</dcterms:created>
  <dc:creator>pc</dc:creator>
  <cp:lastModifiedBy>吴霁瑾</cp:lastModifiedBy>
  <dcterms:modified xsi:type="dcterms:W3CDTF">2026-01-16T03:04:29Z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eyJoZGlkIjoiNmIzY2Q3NWRlOTk3NmYzYmMxNWQ2MmM4OTFhNDY5ZmUiLCJ1c2VySWQiOiIyNDgwNjA5MTgifQ==</vt:lpwstr>
  </property>
  <property fmtid="{D5CDD505-2E9C-101B-9397-08002B2CF9AE}" pid="4" name="ICV">
    <vt:lpwstr>7A09E7EE0A25489C98DFAD86D011E33B_12</vt:lpwstr>
  </property>
</Properties>
</file>