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版本号：【KRDL】K1-2512321.1B120260120001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三学街文物建筑抢救性修缮方案设计(二次)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【KRDL】K1-2512321.1B1</w:t>
      </w:r>
      <w:r>
        <w:br/>
      </w:r>
      <w:r>
        <w:br/>
      </w:r>
      <w:r>
        <w:br/>
      </w:r>
    </w:p>
    <w:p>
      <w:pPr>
        <w:pStyle w:val="null3"/>
        <w:jc w:val="center"/>
        <w:outlineLvl w:val="2"/>
      </w:pPr>
      <w:r>
        <w:rPr>
          <w:rFonts w:ascii="仿宋_GB2312" w:hAnsi="仿宋_GB2312" w:cs="仿宋_GB2312" w:eastAsia="仿宋_GB2312"/>
          <w:sz w:val="28"/>
          <w:b/>
        </w:rPr>
        <w:t>西安市碑林区文化和旅游体育局（本级）</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西安市碑林区文化和旅游体育局（本级）</w:t>
      </w:r>
      <w:r>
        <w:rPr>
          <w:rFonts w:ascii="仿宋_GB2312" w:hAnsi="仿宋_GB2312" w:cs="仿宋_GB2312" w:eastAsia="仿宋_GB2312"/>
        </w:rPr>
        <w:t>委托，拟对</w:t>
      </w:r>
      <w:r>
        <w:rPr>
          <w:rFonts w:ascii="仿宋_GB2312" w:hAnsi="仿宋_GB2312" w:cs="仿宋_GB2312" w:eastAsia="仿宋_GB2312"/>
        </w:rPr>
        <w:t>三学街文物建筑抢救性修缮方案设计(二次)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【KRDL】K1-2512321.1B1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三学街文物建筑抢救性修缮方案设计(二次)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三学街文物建筑抢救性修缮方案设计采购项目，主要服务内容为对4处不可移动文物、8处优秀传统风貌建筑，1处历史建筑，设计修缮。主要病害有：①后期人为改造，这与建筑原有风貌相悖；②建筑屋面多处坍塌，如木基层糟朽、坍塌建筑，防水功能丧失；③木构架糟朽、脱峁、开裂、坍塌，建筑安全生存堪忧；④木柱根部糟朽、开裂严重，影响建筑整体稳定性；⑤木装修破损、缺失、变形，影响建筑整体稳定性；⑥建筑周围场地排水不畅（生活、建筑垃圾堆积，原有排水系统堵塞。），大气降水汇集、下渗，软化建筑地基。具体采购内容及要求详见本项目磋商文件、答疑文件等文件的全部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采购包1（三学街文物建筑抢救性修缮方案设计）：属于专门面向中小企业采购。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1、主体资格：供应商为向采购人提供相应服务的法人或其他组织；</w:t>
      </w:r>
    </w:p>
    <w:p>
      <w:pPr>
        <w:pStyle w:val="null3"/>
      </w:pPr>
      <w:r>
        <w:rPr>
          <w:rFonts w:ascii="仿宋_GB2312" w:hAnsi="仿宋_GB2312" w:cs="仿宋_GB2312" w:eastAsia="仿宋_GB2312"/>
        </w:rPr>
        <w:t>2、社会保障资金缴纳证明：供应商提供本单位在开标前6个月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3、税收缴纳证明：供应商提供本单位在开标前6个月已缴纳的至少一个月纳税证明或完税证明，依法免税的单位应提供相关证明材料；</w:t>
      </w:r>
    </w:p>
    <w:p>
      <w:pPr>
        <w:pStyle w:val="null3"/>
      </w:pPr>
      <w:r>
        <w:rPr>
          <w:rFonts w:ascii="仿宋_GB2312" w:hAnsi="仿宋_GB2312" w:cs="仿宋_GB2312" w:eastAsia="仿宋_GB2312"/>
        </w:rPr>
        <w:t>4、财务状况证明：提供经会计师事务所审计的2024年的财务审计报告或在开标日期前六个月内其基本开户银行出具的资信证明；</w:t>
      </w:r>
    </w:p>
    <w:p>
      <w:pPr>
        <w:pStyle w:val="null3"/>
      </w:pPr>
      <w:r>
        <w:rPr>
          <w:rFonts w:ascii="仿宋_GB2312" w:hAnsi="仿宋_GB2312" w:cs="仿宋_GB2312" w:eastAsia="仿宋_GB2312"/>
        </w:rPr>
        <w:t>5、信誉要求：供应商应出具参加本次政府采购活动前3年内在经营活动中没有重大违法违纪，截止至响应文件递交截止时间之前，供应商未被“信用中国”网站列入失信被执行人名单、重大税收违法案件当事人名单，未被列入“中国政府采购网”政府采购严重违法失信行为记录名单；</w:t>
      </w:r>
    </w:p>
    <w:p>
      <w:pPr>
        <w:pStyle w:val="null3"/>
      </w:pPr>
      <w:r>
        <w:rPr>
          <w:rFonts w:ascii="仿宋_GB2312" w:hAnsi="仿宋_GB2312" w:cs="仿宋_GB2312" w:eastAsia="仿宋_GB2312"/>
        </w:rPr>
        <w:t>6、项目负责人：拟派本项目的项目负责人须具备文物保护工程责任设计师执业资格证书；</w:t>
      </w:r>
    </w:p>
    <w:p>
      <w:pPr>
        <w:pStyle w:val="null3"/>
      </w:pPr>
      <w:r>
        <w:rPr>
          <w:rFonts w:ascii="仿宋_GB2312" w:hAnsi="仿宋_GB2312" w:cs="仿宋_GB2312" w:eastAsia="仿宋_GB2312"/>
        </w:rPr>
        <w:t>7、是否面向中小企业采购：本项目专门面向中小企业采购。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西安市碑林区文化和旅游体育局（本级）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西安市碑林区南院门27号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029-89625836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庄金虎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17671792111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采购包1：1,968,000.00元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西安市碑林区文化和旅游体育局（本级）</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西安市碑林区文化和旅游体育局（本级）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西安市碑林区文化和旅游体育局（本级）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符合采购人与成交供应商签订的服务合同；符合竞争性磋商文件、响应文件的服务要求、商务要求；符合国家有关技术规范和标准。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联系人：庄金虎</w:t>
      </w:r>
    </w:p>
    <w:p>
      <w:pPr>
        <w:pStyle w:val="null3"/>
      </w:pPr>
      <w:r>
        <w:rPr>
          <w:rFonts w:ascii="仿宋_GB2312" w:hAnsi="仿宋_GB2312" w:cs="仿宋_GB2312" w:eastAsia="仿宋_GB2312"/>
        </w:rPr>
        <w:t>联系电话：17671792111</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三学街文物建筑抢救性修缮方案设计采购项目，主要服务内容为对4处不可移动文物、8处优秀传统风貌建筑，1处历史建筑，设计修缮。主要病害有：①后期人为改造，这与建筑原有风貌相悖；②建筑屋面多处坍塌，如木基层糟朽、坍塌建筑，防水功能丧失；③木构架糟朽、脱峁、开裂、坍塌，建筑安全生存堪忧；④木柱根部糟朽、开裂严重，影响建筑整体稳定性；⑤木装修破损、缺失、变形，影响建筑整体稳定性；⑥建筑周围场地排水不畅（生活、建筑垃圾堆积，原有排水系统堵塞。），大气降水汇集、下渗，软化建筑地基。</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1,968,000.00</w:t>
      </w:r>
    </w:p>
    <w:p>
      <w:pPr>
        <w:pStyle w:val="null3"/>
      </w:pPr>
      <w:r>
        <w:rPr>
          <w:rFonts w:ascii="仿宋_GB2312" w:hAnsi="仿宋_GB2312" w:cs="仿宋_GB2312" w:eastAsia="仿宋_GB2312"/>
        </w:rPr>
        <w:t>采购包最高限价（元）: 1,968,000.00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按文物修缮工程标准编制设计方案。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1,968,000.00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标的名称：按文物修缮工程标准编制设计方案。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color w:val="0000FF"/>
              </w:rPr>
              <w:t>（一）设计范围</w:t>
            </w:r>
          </w:p>
          <w:p>
            <w:pPr>
              <w:pStyle w:val="null3"/>
              <w:jc w:val="left"/>
            </w:pPr>
            <w:r>
              <w:rPr>
                <w:rFonts w:ascii="仿宋_GB2312" w:hAnsi="仿宋_GB2312" w:cs="仿宋_GB2312" w:eastAsia="仿宋_GB2312"/>
                <w:sz w:val="24"/>
                <w:color w:val="0000FF"/>
              </w:rPr>
              <w:t>东柏树林</w:t>
            </w:r>
            <w:r>
              <w:rPr>
                <w:rFonts w:ascii="仿宋_GB2312" w:hAnsi="仿宋_GB2312" w:cs="仿宋_GB2312" w:eastAsia="仿宋_GB2312"/>
                <w:sz w:val="24"/>
                <w:color w:val="0000FF"/>
              </w:rPr>
              <w:t>51号、木头市108号、开通巷73号、兴隆巷34号，4处建筑均为四普时发现的不可移动文物；东厅门57号、兴隆巷55号、安居巷6号、安居巷煤场旧址、柏树林47号、书院门91号、府学巷34号（原16号）、东厅门23号，8处建筑为优秀传统风貌建筑；过街楼（第2座），1处建筑为历史建筑，上述建筑本体的修缮。</w:t>
            </w:r>
          </w:p>
          <w:p>
            <w:pPr>
              <w:pStyle w:val="null3"/>
              <w:jc w:val="left"/>
            </w:pPr>
            <w:r>
              <w:rPr>
                <w:rFonts w:ascii="仿宋_GB2312" w:hAnsi="仿宋_GB2312" w:cs="仿宋_GB2312" w:eastAsia="仿宋_GB2312"/>
                <w:sz w:val="24"/>
                <w:color w:val="0000FF"/>
              </w:rPr>
              <w:t>（二）设计内容</w:t>
            </w:r>
          </w:p>
          <w:p>
            <w:pPr>
              <w:pStyle w:val="null3"/>
              <w:jc w:val="left"/>
            </w:pPr>
            <w:r>
              <w:rPr>
                <w:rFonts w:ascii="仿宋_GB2312" w:hAnsi="仿宋_GB2312" w:cs="仿宋_GB2312" w:eastAsia="仿宋_GB2312"/>
                <w:sz w:val="24"/>
                <w:color w:val="0000FF"/>
              </w:rPr>
              <w:t>①更正后期不当维修，去除后期加建部分；②建筑屋面揭顶维修；③大木构架糟朽构件更换，脱峁构件归安处理；④木柱根部糟朽墩接，无法满足墩接要求的，按原材料、原工艺更换处理，以增强建筑整体稳定性；⑤整修变形的木装修，增补缺失部分木装修；⑥疏导建筑周围场地排水。</w:t>
            </w:r>
          </w:p>
          <w:p>
            <w:pPr>
              <w:pStyle w:val="null3"/>
              <w:jc w:val="left"/>
            </w:pPr>
            <w:r>
              <w:rPr>
                <w:rFonts w:ascii="仿宋_GB2312" w:hAnsi="仿宋_GB2312" w:cs="仿宋_GB2312" w:eastAsia="仿宋_GB2312"/>
                <w:sz w:val="24"/>
                <w:color w:val="0000FF"/>
              </w:rPr>
              <w:t>（三）服务要求</w:t>
            </w:r>
          </w:p>
          <w:p>
            <w:pPr>
              <w:pStyle w:val="null3"/>
              <w:jc w:val="left"/>
            </w:pPr>
            <w:r>
              <w:rPr>
                <w:rFonts w:ascii="仿宋_GB2312" w:hAnsi="仿宋_GB2312" w:cs="仿宋_GB2312" w:eastAsia="仿宋_GB2312"/>
                <w:sz w:val="24"/>
                <w:color w:val="0000FF"/>
              </w:rPr>
              <w:t>1、设计任务书：</w:t>
            </w:r>
          </w:p>
          <w:p>
            <w:pPr>
              <w:pStyle w:val="null3"/>
              <w:jc w:val="left"/>
            </w:pPr>
            <w:r>
              <w:rPr>
                <w:rFonts w:ascii="仿宋_GB2312" w:hAnsi="仿宋_GB2312" w:cs="仿宋_GB2312" w:eastAsia="仿宋_GB2312"/>
                <w:sz w:val="24"/>
                <w:color w:val="0000FF"/>
              </w:rPr>
              <w:t>（</w:t>
            </w:r>
            <w:r>
              <w:rPr>
                <w:rFonts w:ascii="仿宋_GB2312" w:hAnsi="仿宋_GB2312" w:cs="仿宋_GB2312" w:eastAsia="仿宋_GB2312"/>
                <w:sz w:val="24"/>
                <w:color w:val="0000FF"/>
              </w:rPr>
              <w:t>1）项目背景</w:t>
            </w:r>
          </w:p>
          <w:p>
            <w:pPr>
              <w:pStyle w:val="null3"/>
              <w:jc w:val="left"/>
            </w:pPr>
            <w:r>
              <w:rPr>
                <w:rFonts w:ascii="仿宋_GB2312" w:hAnsi="仿宋_GB2312" w:cs="仿宋_GB2312" w:eastAsia="仿宋_GB2312"/>
                <w:sz w:val="24"/>
                <w:color w:val="0000FF"/>
              </w:rPr>
              <w:t>西安地区遭遇</w:t>
            </w:r>
            <w:r>
              <w:rPr>
                <w:rFonts w:ascii="仿宋_GB2312" w:hAnsi="仿宋_GB2312" w:cs="仿宋_GB2312" w:eastAsia="仿宋_GB2312"/>
                <w:sz w:val="24"/>
                <w:color w:val="0000FF"/>
              </w:rPr>
              <w:t>1961年以来降水量高居历史同期第二的连续强降雨天气。因42天的强降雨对上述建筑造成屋面坍塌、木构糟朽、排水不畅等严重病害，亟需系统性修缮。</w:t>
            </w:r>
          </w:p>
          <w:p>
            <w:pPr>
              <w:pStyle w:val="null3"/>
              <w:jc w:val="left"/>
            </w:pPr>
            <w:r>
              <w:rPr>
                <w:rFonts w:ascii="仿宋_GB2312" w:hAnsi="仿宋_GB2312" w:cs="仿宋_GB2312" w:eastAsia="仿宋_GB2312"/>
                <w:sz w:val="24"/>
                <w:color w:val="0000FF"/>
              </w:rPr>
              <w:t>（</w:t>
            </w:r>
            <w:r>
              <w:rPr>
                <w:rFonts w:ascii="仿宋_GB2312" w:hAnsi="仿宋_GB2312" w:cs="仿宋_GB2312" w:eastAsia="仿宋_GB2312"/>
                <w:sz w:val="24"/>
                <w:color w:val="0000FF"/>
              </w:rPr>
              <w:t>2）设计目标</w:t>
            </w:r>
          </w:p>
          <w:p>
            <w:pPr>
              <w:pStyle w:val="null3"/>
              <w:jc w:val="left"/>
            </w:pPr>
            <w:r>
              <w:rPr>
                <w:rFonts w:ascii="仿宋_GB2312" w:hAnsi="仿宋_GB2312" w:cs="仿宋_GB2312" w:eastAsia="仿宋_GB2312"/>
                <w:sz w:val="24"/>
                <w:color w:val="0000FF"/>
              </w:rPr>
              <w:t>消除结构安全隐患，恢复建筑稳定性。</w:t>
            </w:r>
          </w:p>
          <w:p>
            <w:pPr>
              <w:pStyle w:val="null3"/>
              <w:jc w:val="left"/>
            </w:pPr>
            <w:r>
              <w:rPr>
                <w:rFonts w:ascii="仿宋_GB2312" w:hAnsi="仿宋_GB2312" w:cs="仿宋_GB2312" w:eastAsia="仿宋_GB2312"/>
                <w:sz w:val="24"/>
                <w:color w:val="0000FF"/>
              </w:rPr>
              <w:t>修复历史风貌，最大限度保留原有特征。</w:t>
            </w:r>
          </w:p>
          <w:p>
            <w:pPr>
              <w:pStyle w:val="null3"/>
              <w:jc w:val="left"/>
            </w:pPr>
            <w:r>
              <w:rPr>
                <w:rFonts w:ascii="仿宋_GB2312" w:hAnsi="仿宋_GB2312" w:cs="仿宋_GB2312" w:eastAsia="仿宋_GB2312"/>
                <w:sz w:val="24"/>
                <w:color w:val="0000FF"/>
              </w:rPr>
              <w:t>改善场地排水功能，遏制病害发展。</w:t>
            </w:r>
          </w:p>
          <w:p>
            <w:pPr>
              <w:pStyle w:val="null3"/>
              <w:jc w:val="left"/>
            </w:pPr>
            <w:r>
              <w:rPr>
                <w:rFonts w:ascii="仿宋_GB2312" w:hAnsi="仿宋_GB2312" w:cs="仿宋_GB2312" w:eastAsia="仿宋_GB2312"/>
                <w:sz w:val="24"/>
                <w:color w:val="0000FF"/>
              </w:rPr>
              <w:t>为施工提供准确、可行的技术依据和图纸。</w:t>
            </w:r>
          </w:p>
          <w:p>
            <w:pPr>
              <w:pStyle w:val="null3"/>
              <w:jc w:val="left"/>
            </w:pPr>
            <w:r>
              <w:rPr>
                <w:rFonts w:ascii="仿宋_GB2312" w:hAnsi="仿宋_GB2312" w:cs="仿宋_GB2312" w:eastAsia="仿宋_GB2312"/>
                <w:sz w:val="24"/>
                <w:color w:val="0000FF"/>
              </w:rPr>
              <w:t>（</w:t>
            </w:r>
            <w:r>
              <w:rPr>
                <w:rFonts w:ascii="仿宋_GB2312" w:hAnsi="仿宋_GB2312" w:cs="仿宋_GB2312" w:eastAsia="仿宋_GB2312"/>
                <w:sz w:val="24"/>
                <w:color w:val="0000FF"/>
              </w:rPr>
              <w:t>3）设计范围与核心任务</w:t>
            </w:r>
          </w:p>
          <w:p>
            <w:pPr>
              <w:pStyle w:val="null3"/>
              <w:jc w:val="left"/>
            </w:pPr>
            <w:r>
              <w:rPr>
                <w:rFonts w:ascii="仿宋_GB2312" w:hAnsi="仿宋_GB2312" w:cs="仿宋_GB2312" w:eastAsia="仿宋_GB2312"/>
                <w:sz w:val="24"/>
                <w:color w:val="0000FF"/>
              </w:rPr>
              <w:t>范围：涵盖上述</w:t>
            </w:r>
            <w:r>
              <w:rPr>
                <w:rFonts w:ascii="仿宋_GB2312" w:hAnsi="仿宋_GB2312" w:cs="仿宋_GB2312" w:eastAsia="仿宋_GB2312"/>
                <w:sz w:val="24"/>
                <w:color w:val="0000FF"/>
              </w:rPr>
              <w:t>13处建筑本体的全部修缮设计。</w:t>
            </w:r>
          </w:p>
          <w:p>
            <w:pPr>
              <w:pStyle w:val="null3"/>
              <w:jc w:val="left"/>
            </w:pPr>
            <w:r>
              <w:rPr>
                <w:rFonts w:ascii="仿宋_GB2312" w:hAnsi="仿宋_GB2312" w:cs="仿宋_GB2312" w:eastAsia="仿宋_GB2312"/>
                <w:sz w:val="24"/>
                <w:color w:val="0000FF"/>
              </w:rPr>
              <w:t>核心任务：完成现场详细测绘，记录现状及病害。针对屋面、木构架、木装修、排水系统等主要病害制定修复方案。编制完整的设计成果文件（含设计方案、施工图纸）。</w:t>
            </w:r>
          </w:p>
          <w:p>
            <w:pPr>
              <w:pStyle w:val="null3"/>
              <w:jc w:val="left"/>
            </w:pPr>
            <w:r>
              <w:rPr>
                <w:rFonts w:ascii="仿宋_GB2312" w:hAnsi="仿宋_GB2312" w:cs="仿宋_GB2312" w:eastAsia="仿宋_GB2312"/>
                <w:sz w:val="24"/>
                <w:color w:val="0000FF"/>
              </w:rPr>
              <w:t>2、需要执行的行业标准和规范：</w:t>
            </w:r>
          </w:p>
          <w:p>
            <w:pPr>
              <w:pStyle w:val="null3"/>
              <w:jc w:val="left"/>
            </w:pPr>
            <w:r>
              <w:rPr>
                <w:rFonts w:ascii="仿宋_GB2312" w:hAnsi="仿宋_GB2312" w:cs="仿宋_GB2312" w:eastAsia="仿宋_GB2312"/>
                <w:sz w:val="24"/>
                <w:color w:val="0000FF"/>
              </w:rPr>
              <w:t>《中华人民共和国文物保护法》</w:t>
            </w:r>
            <w:r>
              <w:rPr>
                <w:rFonts w:ascii="仿宋_GB2312" w:hAnsi="仿宋_GB2312" w:cs="仿宋_GB2312" w:eastAsia="仿宋_GB2312"/>
                <w:sz w:val="24"/>
                <w:color w:val="0000FF"/>
              </w:rPr>
              <w:t>(2024年11月8日修订)；</w:t>
            </w:r>
          </w:p>
          <w:p>
            <w:pPr>
              <w:pStyle w:val="null3"/>
              <w:jc w:val="left"/>
            </w:pPr>
            <w:r>
              <w:rPr>
                <w:rFonts w:ascii="仿宋_GB2312" w:hAnsi="仿宋_GB2312" w:cs="仿宋_GB2312" w:eastAsia="仿宋_GB2312"/>
                <w:sz w:val="24"/>
                <w:color w:val="0000FF"/>
              </w:rPr>
              <w:t>《文物保护工程管理办法》</w:t>
            </w:r>
            <w:r>
              <w:rPr>
                <w:rFonts w:ascii="仿宋_GB2312" w:hAnsi="仿宋_GB2312" w:cs="仿宋_GB2312" w:eastAsia="仿宋_GB2312"/>
                <w:sz w:val="24"/>
                <w:color w:val="0000FF"/>
              </w:rPr>
              <w:t>(2003年)；</w:t>
            </w:r>
          </w:p>
          <w:p>
            <w:pPr>
              <w:pStyle w:val="null3"/>
              <w:jc w:val="left"/>
            </w:pPr>
            <w:r>
              <w:rPr>
                <w:rFonts w:ascii="仿宋_GB2312" w:hAnsi="仿宋_GB2312" w:cs="仿宋_GB2312" w:eastAsia="仿宋_GB2312"/>
                <w:sz w:val="24"/>
                <w:color w:val="0000FF"/>
              </w:rPr>
              <w:t>《中国文物古迹保护准则》</w:t>
            </w:r>
            <w:r>
              <w:rPr>
                <w:rFonts w:ascii="仿宋_GB2312" w:hAnsi="仿宋_GB2312" w:cs="仿宋_GB2312" w:eastAsia="仿宋_GB2312"/>
                <w:sz w:val="24"/>
                <w:color w:val="0000FF"/>
              </w:rPr>
              <w:t>(2015年)；</w:t>
            </w:r>
          </w:p>
          <w:p>
            <w:pPr>
              <w:pStyle w:val="null3"/>
              <w:jc w:val="left"/>
            </w:pPr>
            <w:r>
              <w:rPr>
                <w:rFonts w:ascii="仿宋_GB2312" w:hAnsi="仿宋_GB2312" w:cs="仿宋_GB2312" w:eastAsia="仿宋_GB2312"/>
                <w:sz w:val="24"/>
                <w:color w:val="0000FF"/>
              </w:rPr>
              <w:t>《陕西省文物保护条例》</w:t>
            </w:r>
            <w:r>
              <w:rPr>
                <w:rFonts w:ascii="仿宋_GB2312" w:hAnsi="仿宋_GB2312" w:cs="仿宋_GB2312" w:eastAsia="仿宋_GB2312"/>
                <w:sz w:val="24"/>
                <w:color w:val="0000FF"/>
              </w:rPr>
              <w:t>(2006年)；</w:t>
            </w:r>
          </w:p>
          <w:p>
            <w:pPr>
              <w:pStyle w:val="null3"/>
              <w:jc w:val="left"/>
            </w:pPr>
            <w:r>
              <w:rPr>
                <w:rFonts w:ascii="仿宋_GB2312" w:hAnsi="仿宋_GB2312" w:cs="仿宋_GB2312" w:eastAsia="仿宋_GB2312"/>
                <w:sz w:val="24"/>
                <w:color w:val="0000FF"/>
              </w:rPr>
              <w:t>《文物保护工程设计文件编制深度要求</w:t>
            </w:r>
            <w:r>
              <w:rPr>
                <w:rFonts w:ascii="仿宋_GB2312" w:hAnsi="仿宋_GB2312" w:cs="仿宋_GB2312" w:eastAsia="仿宋_GB2312"/>
                <w:sz w:val="24"/>
                <w:color w:val="0000FF"/>
              </w:rPr>
              <w:t>(试行)》(2013年)；</w:t>
            </w:r>
          </w:p>
          <w:p>
            <w:pPr>
              <w:pStyle w:val="null3"/>
              <w:jc w:val="left"/>
            </w:pPr>
            <w:r>
              <w:rPr>
                <w:rFonts w:ascii="仿宋_GB2312" w:hAnsi="仿宋_GB2312" w:cs="仿宋_GB2312" w:eastAsia="仿宋_GB2312"/>
                <w:sz w:val="24"/>
                <w:color w:val="0000FF"/>
              </w:rPr>
              <w:t>《古建筑木结构维护与加固技术标准》</w:t>
            </w:r>
            <w:r>
              <w:rPr>
                <w:rFonts w:ascii="仿宋_GB2312" w:hAnsi="仿宋_GB2312" w:cs="仿宋_GB2312" w:eastAsia="仿宋_GB2312"/>
                <w:sz w:val="24"/>
                <w:color w:val="0000FF"/>
              </w:rPr>
              <w:t>(GB/T 50165-2020)；</w:t>
            </w:r>
          </w:p>
          <w:p>
            <w:pPr>
              <w:pStyle w:val="null3"/>
              <w:jc w:val="left"/>
            </w:pPr>
            <w:r>
              <w:rPr>
                <w:rFonts w:ascii="仿宋_GB2312" w:hAnsi="仿宋_GB2312" w:cs="仿宋_GB2312" w:eastAsia="仿宋_GB2312"/>
                <w:sz w:val="24"/>
                <w:color w:val="0000FF"/>
              </w:rPr>
              <w:t>《文物建筑维修基本材料青砖》</w:t>
            </w:r>
            <w:r>
              <w:rPr>
                <w:rFonts w:ascii="仿宋_GB2312" w:hAnsi="仿宋_GB2312" w:cs="仿宋_GB2312" w:eastAsia="仿宋_GB2312"/>
                <w:sz w:val="24"/>
                <w:color w:val="0000FF"/>
              </w:rPr>
              <w:t>(WWT 0049-2014)；</w:t>
            </w:r>
          </w:p>
          <w:p>
            <w:pPr>
              <w:pStyle w:val="null3"/>
              <w:jc w:val="left"/>
            </w:pPr>
            <w:r>
              <w:rPr>
                <w:rFonts w:ascii="仿宋_GB2312" w:hAnsi="仿宋_GB2312" w:cs="仿宋_GB2312" w:eastAsia="仿宋_GB2312"/>
                <w:sz w:val="24"/>
                <w:color w:val="0000FF"/>
              </w:rPr>
              <w:t>《文物建筑维修基本材料青瓦》</w:t>
            </w:r>
            <w:r>
              <w:rPr>
                <w:rFonts w:ascii="仿宋_GB2312" w:hAnsi="仿宋_GB2312" w:cs="仿宋_GB2312" w:eastAsia="仿宋_GB2312"/>
                <w:sz w:val="24"/>
                <w:color w:val="0000FF"/>
              </w:rPr>
              <w:t>(WWT 0050-2014)；</w:t>
            </w:r>
          </w:p>
          <w:p>
            <w:pPr>
              <w:pStyle w:val="null3"/>
              <w:jc w:val="left"/>
            </w:pPr>
            <w:r>
              <w:rPr>
                <w:rFonts w:ascii="仿宋_GB2312" w:hAnsi="仿宋_GB2312" w:cs="仿宋_GB2312" w:eastAsia="仿宋_GB2312"/>
                <w:sz w:val="24"/>
                <w:color w:val="0000FF"/>
              </w:rPr>
              <w:t>《文物建筑维修基本材料木材》</w:t>
            </w:r>
            <w:r>
              <w:rPr>
                <w:rFonts w:ascii="仿宋_GB2312" w:hAnsi="仿宋_GB2312" w:cs="仿宋_GB2312" w:eastAsia="仿宋_GB2312"/>
                <w:sz w:val="24"/>
                <w:color w:val="0000FF"/>
              </w:rPr>
              <w:t>(WWT 0051-2014)；</w:t>
            </w:r>
          </w:p>
          <w:p>
            <w:pPr>
              <w:pStyle w:val="null3"/>
              <w:jc w:val="left"/>
            </w:pPr>
            <w:r>
              <w:rPr>
                <w:rFonts w:ascii="仿宋_GB2312" w:hAnsi="仿宋_GB2312" w:cs="仿宋_GB2312" w:eastAsia="仿宋_GB2312"/>
                <w:sz w:val="24"/>
                <w:color w:val="0000FF"/>
              </w:rPr>
              <w:t>《文物建筑维修基本材料石材》</w:t>
            </w:r>
            <w:r>
              <w:rPr>
                <w:rFonts w:ascii="仿宋_GB2312" w:hAnsi="仿宋_GB2312" w:cs="仿宋_GB2312" w:eastAsia="仿宋_GB2312"/>
                <w:sz w:val="24"/>
                <w:color w:val="0000FF"/>
              </w:rPr>
              <w:t>(WWT0052-2014)；</w:t>
            </w:r>
          </w:p>
          <w:p>
            <w:pPr>
              <w:pStyle w:val="null3"/>
              <w:jc w:val="left"/>
            </w:pPr>
            <w:r>
              <w:rPr>
                <w:rFonts w:ascii="仿宋_GB2312" w:hAnsi="仿宋_GB2312" w:cs="仿宋_GB2312" w:eastAsia="仿宋_GB2312"/>
                <w:sz w:val="24"/>
                <w:color w:val="0000FF"/>
              </w:rPr>
              <w:t>《中国古建筑修缮技术》</w:t>
            </w:r>
            <w:r>
              <w:rPr>
                <w:rFonts w:ascii="仿宋_GB2312" w:hAnsi="仿宋_GB2312" w:cs="仿宋_GB2312" w:eastAsia="仿宋_GB2312"/>
                <w:sz w:val="24"/>
                <w:color w:val="0000FF"/>
              </w:rPr>
              <w:t>(文化部文物保护科研所主编1983年)；</w:t>
            </w:r>
          </w:p>
          <w:p>
            <w:pPr>
              <w:pStyle w:val="null3"/>
              <w:jc w:val="left"/>
            </w:pPr>
            <w:r>
              <w:rPr>
                <w:rFonts w:ascii="仿宋_GB2312" w:hAnsi="仿宋_GB2312" w:cs="仿宋_GB2312" w:eastAsia="仿宋_GB2312"/>
                <w:sz w:val="24"/>
                <w:color w:val="0000FF"/>
              </w:rPr>
              <w:t>《中国文物保护与修复技术》</w:t>
            </w:r>
            <w:r>
              <w:rPr>
                <w:rFonts w:ascii="仿宋_GB2312" w:hAnsi="仿宋_GB2312" w:cs="仿宋_GB2312" w:eastAsia="仿宋_GB2312"/>
                <w:sz w:val="24"/>
                <w:color w:val="0000FF"/>
              </w:rPr>
              <w:t>(中国文化遗产研究院2009年)；</w:t>
            </w:r>
          </w:p>
          <w:p>
            <w:pPr>
              <w:pStyle w:val="null3"/>
              <w:jc w:val="left"/>
            </w:pPr>
            <w:r>
              <w:rPr>
                <w:rFonts w:ascii="仿宋_GB2312" w:hAnsi="仿宋_GB2312" w:cs="仿宋_GB2312" w:eastAsia="仿宋_GB2312"/>
                <w:sz w:val="24"/>
                <w:color w:val="0000FF"/>
              </w:rPr>
              <w:t>国家现行标准、规范。</w:t>
            </w:r>
          </w:p>
          <w:p>
            <w:pPr>
              <w:pStyle w:val="null3"/>
              <w:jc w:val="left"/>
            </w:pPr>
            <w:r>
              <w:rPr>
                <w:rFonts w:ascii="仿宋_GB2312" w:hAnsi="仿宋_GB2312" w:cs="仿宋_GB2312" w:eastAsia="仿宋_GB2312"/>
                <w:sz w:val="24"/>
                <w:color w:val="0000FF"/>
              </w:rPr>
              <w:t>3、设计要求</w:t>
            </w:r>
          </w:p>
          <w:p>
            <w:pPr>
              <w:pStyle w:val="null3"/>
              <w:jc w:val="left"/>
            </w:pPr>
            <w:r>
              <w:rPr>
                <w:rFonts w:ascii="仿宋_GB2312" w:hAnsi="仿宋_GB2312" w:cs="仿宋_GB2312" w:eastAsia="仿宋_GB2312"/>
                <w:sz w:val="24"/>
                <w:color w:val="0000FF"/>
              </w:rPr>
              <w:t>根据国家文物局颁布的《文物保护工程设计文件编制深度要求（</w:t>
            </w:r>
            <w:r>
              <w:rPr>
                <w:rFonts w:ascii="仿宋_GB2312" w:hAnsi="仿宋_GB2312" w:cs="仿宋_GB2312" w:eastAsia="仿宋_GB2312"/>
                <w:sz w:val="24"/>
                <w:color w:val="0000FF"/>
              </w:rPr>
              <w:t>2013）》文件，供应商需提供如下内容：</w:t>
            </w:r>
          </w:p>
          <w:p>
            <w:pPr>
              <w:pStyle w:val="null3"/>
              <w:jc w:val="left"/>
            </w:pPr>
            <w:r>
              <w:rPr>
                <w:rFonts w:ascii="仿宋_GB2312" w:hAnsi="仿宋_GB2312" w:cs="仿宋_GB2312" w:eastAsia="仿宋_GB2312"/>
                <w:sz w:val="24"/>
                <w:color w:val="0000FF"/>
              </w:rPr>
              <w:t>（</w:t>
            </w:r>
            <w:r>
              <w:rPr>
                <w:rFonts w:ascii="仿宋_GB2312" w:hAnsi="仿宋_GB2312" w:cs="仿宋_GB2312" w:eastAsia="仿宋_GB2312"/>
                <w:sz w:val="24"/>
                <w:color w:val="0000FF"/>
              </w:rPr>
              <w:t>1）现状勘察</w:t>
            </w:r>
          </w:p>
          <w:p>
            <w:pPr>
              <w:pStyle w:val="null3"/>
              <w:jc w:val="left"/>
            </w:pPr>
            <w:r>
              <w:rPr>
                <w:rFonts w:ascii="仿宋_GB2312" w:hAnsi="仿宋_GB2312" w:cs="仿宋_GB2312" w:eastAsia="仿宋_GB2312"/>
                <w:sz w:val="24"/>
                <w:color w:val="0000FF"/>
              </w:rPr>
              <w:t>现状勘察文件包括现状勘察报告、现状实测图纸和现状照片。</w:t>
            </w:r>
          </w:p>
          <w:p>
            <w:pPr>
              <w:pStyle w:val="null3"/>
              <w:jc w:val="left"/>
            </w:pPr>
            <w:r>
              <w:rPr>
                <w:rFonts w:ascii="仿宋_GB2312" w:hAnsi="仿宋_GB2312" w:cs="仿宋_GB2312" w:eastAsia="仿宋_GB2312"/>
                <w:sz w:val="24"/>
                <w:color w:val="0000FF"/>
              </w:rPr>
              <w:t>（</w:t>
            </w:r>
            <w:r>
              <w:rPr>
                <w:rFonts w:ascii="仿宋_GB2312" w:hAnsi="仿宋_GB2312" w:cs="仿宋_GB2312" w:eastAsia="仿宋_GB2312"/>
                <w:sz w:val="24"/>
                <w:color w:val="0000FF"/>
              </w:rPr>
              <w:t>2）方案设计</w:t>
            </w:r>
          </w:p>
          <w:p>
            <w:pPr>
              <w:pStyle w:val="null3"/>
              <w:jc w:val="left"/>
            </w:pPr>
            <w:r>
              <w:rPr>
                <w:rFonts w:ascii="仿宋_GB2312" w:hAnsi="仿宋_GB2312" w:cs="仿宋_GB2312" w:eastAsia="仿宋_GB2312"/>
                <w:sz w:val="24"/>
                <w:color w:val="0000FF"/>
              </w:rPr>
              <w:t>方案设计文件包括设计说明和设计图纸两部分内容。</w:t>
            </w:r>
          </w:p>
          <w:p>
            <w:pPr>
              <w:pStyle w:val="null3"/>
              <w:jc w:val="left"/>
            </w:pPr>
            <w:r>
              <w:rPr>
                <w:rFonts w:ascii="仿宋_GB2312" w:hAnsi="仿宋_GB2312" w:cs="仿宋_GB2312" w:eastAsia="仿宋_GB2312"/>
                <w:sz w:val="24"/>
                <w:color w:val="0000FF"/>
              </w:rPr>
              <w:t>（</w:t>
            </w:r>
            <w:r>
              <w:rPr>
                <w:rFonts w:ascii="仿宋_GB2312" w:hAnsi="仿宋_GB2312" w:cs="仿宋_GB2312" w:eastAsia="仿宋_GB2312"/>
                <w:sz w:val="24"/>
                <w:color w:val="0000FF"/>
              </w:rPr>
              <w:t>3）施工图设计</w:t>
            </w:r>
          </w:p>
          <w:p>
            <w:pPr>
              <w:pStyle w:val="null3"/>
              <w:jc w:val="left"/>
            </w:pPr>
            <w:r>
              <w:rPr>
                <w:rFonts w:ascii="仿宋_GB2312" w:hAnsi="仿宋_GB2312" w:cs="仿宋_GB2312" w:eastAsia="仿宋_GB2312"/>
                <w:sz w:val="24"/>
                <w:color w:val="0000FF"/>
              </w:rPr>
              <w:t>施工图设计文件包括施工设计说明和施工图图纸、工程概算。</w:t>
            </w:r>
          </w:p>
          <w:p>
            <w:pPr>
              <w:pStyle w:val="null3"/>
              <w:jc w:val="left"/>
            </w:pPr>
            <w:r>
              <w:rPr>
                <w:rFonts w:ascii="仿宋_GB2312" w:hAnsi="仿宋_GB2312" w:cs="仿宋_GB2312" w:eastAsia="仿宋_GB2312"/>
                <w:sz w:val="24"/>
                <w:color w:val="0000FF"/>
              </w:rPr>
              <w:t>（</w:t>
            </w:r>
            <w:r>
              <w:rPr>
                <w:rFonts w:ascii="仿宋_GB2312" w:hAnsi="仿宋_GB2312" w:cs="仿宋_GB2312" w:eastAsia="仿宋_GB2312"/>
                <w:sz w:val="24"/>
                <w:color w:val="0000FF"/>
              </w:rPr>
              <w:t>4）技术要求和工程做法</w:t>
            </w:r>
          </w:p>
          <w:p>
            <w:pPr>
              <w:pStyle w:val="null3"/>
              <w:jc w:val="left"/>
            </w:pPr>
            <w:r>
              <w:rPr>
                <w:rFonts w:ascii="仿宋_GB2312" w:hAnsi="仿宋_GB2312" w:cs="仿宋_GB2312" w:eastAsia="仿宋_GB2312"/>
                <w:sz w:val="24"/>
                <w:color w:val="0000FF"/>
              </w:rPr>
              <w:t>着重表述技术措施、材料要求、工艺操作标准及特殊处理手段等方面的内容。一般应按施工工种逐一进行说明。工程中所涉及的新材料、新技术的有关资料或施工要求，应做专项说明。</w:t>
            </w:r>
          </w:p>
          <w:p>
            <w:pPr>
              <w:pStyle w:val="null3"/>
              <w:jc w:val="left"/>
            </w:pPr>
            <w:r>
              <w:rPr>
                <w:rFonts w:ascii="仿宋_GB2312" w:hAnsi="仿宋_GB2312" w:cs="仿宋_GB2312" w:eastAsia="仿宋_GB2312"/>
                <w:sz w:val="24"/>
                <w:color w:val="0000FF"/>
              </w:rPr>
              <w:t>（</w:t>
            </w:r>
            <w:r>
              <w:rPr>
                <w:rFonts w:ascii="仿宋_GB2312" w:hAnsi="仿宋_GB2312" w:cs="仿宋_GB2312" w:eastAsia="仿宋_GB2312"/>
                <w:sz w:val="24"/>
                <w:color w:val="0000FF"/>
              </w:rPr>
              <w:t>5）质量目标与要求</w:t>
            </w:r>
          </w:p>
          <w:p>
            <w:pPr>
              <w:pStyle w:val="null3"/>
              <w:jc w:val="left"/>
            </w:pPr>
            <w:r>
              <w:rPr>
                <w:rFonts w:ascii="仿宋_GB2312" w:hAnsi="仿宋_GB2312" w:cs="仿宋_GB2312" w:eastAsia="仿宋_GB2312"/>
                <w:sz w:val="24"/>
                <w:color w:val="0000FF"/>
              </w:rPr>
              <w:t>勘察设计质量：基于精准的现场测绘与病害调查，确保设计方案真实反映建筑现状，遵循《文物保护法》</w:t>
            </w:r>
            <w:r>
              <w:rPr>
                <w:rFonts w:ascii="仿宋_GB2312" w:hAnsi="仿宋_GB2312" w:cs="仿宋_GB2312" w:eastAsia="仿宋_GB2312"/>
                <w:sz w:val="24"/>
                <w:color w:val="0000FF"/>
              </w:rPr>
              <w:t>“不改变文物原状”及“最小干预”原则。</w:t>
            </w:r>
          </w:p>
          <w:p>
            <w:pPr>
              <w:pStyle w:val="null3"/>
              <w:jc w:val="left"/>
            </w:pPr>
            <w:r>
              <w:rPr>
                <w:rFonts w:ascii="仿宋_GB2312" w:hAnsi="仿宋_GB2312" w:cs="仿宋_GB2312" w:eastAsia="仿宋_GB2312"/>
                <w:sz w:val="24"/>
                <w:color w:val="0000FF"/>
              </w:rPr>
              <w:t>材料质量：修缮所用木材、砖瓦等材料，其材质、规格、工艺须与原建筑相匹配，并符合文物保护工程材料标准，关键材料需提供检测报告。</w:t>
            </w:r>
          </w:p>
          <w:p>
            <w:pPr>
              <w:pStyle w:val="null3"/>
              <w:jc w:val="left"/>
            </w:pPr>
            <w:r>
              <w:rPr>
                <w:rFonts w:ascii="仿宋_GB2312" w:hAnsi="仿宋_GB2312" w:cs="仿宋_GB2312" w:eastAsia="仿宋_GB2312"/>
                <w:sz w:val="24"/>
                <w:color w:val="0000FF"/>
              </w:rPr>
              <w:t>工艺质量：严格遵循《古建筑木结构维护与加固技术标准》等规范，对屋面坍塌、木构架糟朽、排水不畅等核心病害，采用传统工艺与现代技术相结合的科学修复手法。</w:t>
            </w:r>
          </w:p>
          <w:p>
            <w:pPr>
              <w:pStyle w:val="null3"/>
              <w:jc w:val="left"/>
            </w:pPr>
            <w:r>
              <w:rPr>
                <w:rFonts w:ascii="仿宋_GB2312" w:hAnsi="仿宋_GB2312" w:cs="仿宋_GB2312" w:eastAsia="仿宋_GB2312"/>
                <w:sz w:val="24"/>
                <w:color w:val="0000FF"/>
              </w:rPr>
              <w:t>4、设计成果文件要求及成果文件数量： 电子版1套，纸质版4套。</w:t>
            </w:r>
          </w:p>
          <w:p>
            <w:pPr>
              <w:pStyle w:val="null3"/>
              <w:jc w:val="left"/>
            </w:pPr>
            <w:r>
              <w:rPr>
                <w:rFonts w:ascii="仿宋_GB2312" w:hAnsi="仿宋_GB2312" w:cs="仿宋_GB2312" w:eastAsia="仿宋_GB2312"/>
                <w:sz w:val="24"/>
                <w:color w:val="0000FF"/>
              </w:rPr>
              <w:t>（四）成果清单和具体时限</w:t>
            </w:r>
          </w:p>
          <w:p>
            <w:pPr>
              <w:pStyle w:val="null3"/>
              <w:jc w:val="left"/>
            </w:pPr>
            <w:r>
              <w:rPr>
                <w:rFonts w:ascii="仿宋_GB2312" w:hAnsi="仿宋_GB2312" w:cs="仿宋_GB2312" w:eastAsia="仿宋_GB2312"/>
                <w:sz w:val="24"/>
                <w:color w:val="0000FF"/>
              </w:rPr>
              <w:t xml:space="preserve"> </w:t>
            </w:r>
            <w:r>
              <w:rPr>
                <w:rFonts w:ascii="仿宋_GB2312" w:hAnsi="仿宋_GB2312" w:cs="仿宋_GB2312" w:eastAsia="仿宋_GB2312"/>
                <w:sz w:val="24"/>
                <w:color w:val="0000FF"/>
              </w:rPr>
              <w:t>电子版</w:t>
            </w:r>
            <w:r>
              <w:rPr>
                <w:rFonts w:ascii="仿宋_GB2312" w:hAnsi="仿宋_GB2312" w:cs="仿宋_GB2312" w:eastAsia="仿宋_GB2312"/>
                <w:sz w:val="24"/>
                <w:color w:val="0000FF"/>
              </w:rPr>
              <w:t>1套，纸质版4套，</w:t>
            </w:r>
            <w:r>
              <w:rPr>
                <w:rFonts w:ascii="仿宋_GB2312" w:hAnsi="仿宋_GB2312" w:cs="仿宋_GB2312" w:eastAsia="仿宋_GB2312"/>
                <w:sz w:val="24"/>
                <w:color w:val="0000FF"/>
              </w:rPr>
              <w:t>合同签订之日起</w:t>
            </w:r>
            <w:r>
              <w:rPr>
                <w:rFonts w:ascii="仿宋_GB2312" w:hAnsi="仿宋_GB2312" w:cs="仿宋_GB2312" w:eastAsia="仿宋_GB2312"/>
                <w:sz w:val="24"/>
                <w:color w:val="0000FF"/>
              </w:rPr>
              <w:t>3个月。</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4"/>
                <w:color w:val="0000FF"/>
              </w:rPr>
              <w:t>（五）成果验收方式及验收标准</w:t>
            </w:r>
          </w:p>
          <w:p>
            <w:pPr>
              <w:pStyle w:val="null3"/>
              <w:jc w:val="left"/>
            </w:pPr>
            <w:r>
              <w:rPr>
                <w:rFonts w:ascii="仿宋_GB2312" w:hAnsi="仿宋_GB2312" w:cs="仿宋_GB2312" w:eastAsia="仿宋_GB2312"/>
                <w:sz w:val="24"/>
                <w:color w:val="0000FF"/>
              </w:rPr>
              <w:t>1、验收方式：设计方提交的成果经相关文物部门审核通过</w:t>
            </w:r>
          </w:p>
          <w:p>
            <w:pPr>
              <w:pStyle w:val="null3"/>
            </w:pPr>
            <w:r>
              <w:rPr>
                <w:rFonts w:ascii="仿宋_GB2312" w:hAnsi="仿宋_GB2312" w:cs="仿宋_GB2312" w:eastAsia="仿宋_GB2312"/>
                <w:sz w:val="24"/>
                <w:color w:val="0000FF"/>
              </w:rPr>
              <w:t>2、验收标准：符合《中华人民共和国文物保护法》《文物保护工程设计文件编制深度要求(试行)》《古建筑木结构维护与加固技术标准》相关要求。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人员配备合理满足本项目各项需求，职责分工明确。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合同签订后，乙方提供等额增值税普通发票，甲方在收到发票后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乙方应在本合同签订后90日内，向甲方提交《三学街文物建筑抢救性修缮方案设计》成果文件4套。设计方案成果文件经相关文物主管部门审核通过后，乙方提供等额增值税普通发票，甲方在收到发票后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工程验收合格后乙方提供等额增值税普通发票，甲方在收到发票后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未按合同要求提供服务或服务质量不能满足技术要求，且在规定时间内未使采购人满意的，采购人有权终止合同并对其违约行为进行追究。具体按《中华人民共和国民法典》中的相关条款执行。（2）任何一方若违反本合同其他约定，致使本合同无法履行，违约方应向守约方赔偿实际损失。（3）如因中标人工作人员在履行职务过程中的疏忽、失职、过错等故意或者过失原因给甲方造成损失或侵害，包括但不限于对采购人造成财产损失、由此而导致的采购人对任何第三方的法律责任等，中标人对此均应承担全部的赔偿责任并负责妥善处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报价要求：供应商在填报投标报价时应综合考虑以下各类价格组成内容，包括但不限于直接费用、间接费用、税金、利润、人员工资、风险费用、服务费用、代理服务费等全部费用。要求的其他相关费用以本采购文件的内容和要求作为投标依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监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供应商为向采购人提供相应服务的法人或其他组织；</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在开标前6个月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供应商提供本单位在开标前6个月已缴纳的至少一个月纳税证明或完税证明，依法免税的单位应提供相关证明材料；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提供经会计师事务所审计的2024年的财务审计报告或在开标日期前六个月内其基本开户银行出具的资信证明；</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截止至响应文件递交截止时间之前，供应商未被“信用中国”网站列入失信被执行人名单、重大税收违法案件当事人名单，未被列入“中国政府采购网”政府采购严重违法失信行为记录名单；</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拟派本项目的项目负责人须具备文物保护工程责任设计师执业资格证书；</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响应文件是否按磋商文件要求签署、盖章的</w:t>
            </w:r>
          </w:p>
        </w:tc>
        <w:tc>
          <w:tcPr>
            <w:tcW w:type="dxa" w:w="3322"/>
          </w:tcPr>
          <w:p>
            <w:pPr>
              <w:pStyle w:val="null3"/>
            </w:pPr>
            <w:r>
              <w:rPr>
                <w:rFonts w:ascii="仿宋_GB2312" w:hAnsi="仿宋_GB2312" w:cs="仿宋_GB2312" w:eastAsia="仿宋_GB2312"/>
              </w:rPr>
              <w:t>按磋商文件要求签署、盖章的</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报价是否超过磋商文件中规定的最高限价的</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法定代表人或合法授权代表证明</w:t>
            </w:r>
          </w:p>
        </w:tc>
        <w:tc>
          <w:tcPr>
            <w:tcW w:type="dxa" w:w="3322"/>
          </w:tcPr>
          <w:p>
            <w:pPr>
              <w:pStyle w:val="null3"/>
            </w:pPr>
            <w:r>
              <w:rPr>
                <w:rFonts w:ascii="仿宋_GB2312" w:hAnsi="仿宋_GB2312" w:cs="仿宋_GB2312" w:eastAsia="仿宋_GB2312"/>
              </w:rPr>
              <w:t>法定代表人参加磋商会议的，应出具法定代表人证明书。法定代表人授权合法授权代表参加磋商会议的，应出具法定代表人证明书、法定代表人授权书,同时提供截至响应文件递交截止时间前6个月内任意1个月的社保缴纳证明材料。</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w:t>
            </w:r>
          </w:p>
        </w:tc>
        <w:tc>
          <w:tcPr>
            <w:tcW w:type="dxa" w:w="1661"/>
          </w:tcPr>
          <w:p>
            <w:pPr>
              <w:pStyle w:val="null3"/>
            </w:pPr>
            <w:r>
              <w:rPr>
                <w:rFonts w:ascii="仿宋_GB2312" w:hAnsi="仿宋_GB2312" w:cs="仿宋_GB2312" w:eastAsia="仿宋_GB2312"/>
              </w:rPr>
              <w:t>服务内容及服务邀请应答表 商务应答表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响应文件是否响应本项目“招标项目技术、服务、商务及其他”中的标记“★”条款</w:t>
            </w:r>
          </w:p>
        </w:tc>
        <w:tc>
          <w:tcPr>
            <w:tcW w:type="dxa" w:w="3322"/>
          </w:tcPr>
          <w:p>
            <w:pPr>
              <w:pStyle w:val="null3"/>
            </w:pPr>
            <w:r>
              <w:rPr>
                <w:rFonts w:ascii="仿宋_GB2312" w:hAnsi="仿宋_GB2312" w:cs="仿宋_GB2312" w:eastAsia="仿宋_GB2312"/>
              </w:rPr>
              <w:t>响应文件响应本项目“招标项目技术、服务、商务及其他”中的标记“★”条款</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是否发现法律、法规和磋商文件规定的其他无效情形</w:t>
            </w:r>
          </w:p>
        </w:tc>
        <w:tc>
          <w:tcPr>
            <w:tcW w:type="dxa" w:w="3322"/>
          </w:tcPr>
          <w:p>
            <w:pPr>
              <w:pStyle w:val="null3"/>
            </w:pPr>
            <w:r>
              <w:rPr>
                <w:rFonts w:ascii="仿宋_GB2312" w:hAnsi="仿宋_GB2312" w:cs="仿宋_GB2312" w:eastAsia="仿宋_GB2312"/>
              </w:rPr>
              <w:t>未发现法律、法规和磋商文件规定的其他无效情形</w:t>
            </w:r>
          </w:p>
        </w:tc>
        <w:tc>
          <w:tcPr>
            <w:tcW w:type="dxa" w:w="1661"/>
          </w:tcPr>
          <w:p>
            <w:pPr>
              <w:pStyle w:val="null3"/>
            </w:pPr>
            <w:r>
              <w:rPr>
                <w:rFonts w:ascii="仿宋_GB2312" w:hAnsi="仿宋_GB2312" w:cs="仿宋_GB2312" w:eastAsia="仿宋_GB2312"/>
              </w:rPr>
              <w:t>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服务内容响应情况</w:t>
            </w:r>
          </w:p>
        </w:tc>
        <w:tc>
          <w:tcPr>
            <w:tcW w:type="dxa" w:w="2492"/>
          </w:tcPr>
          <w:p>
            <w:pPr>
              <w:pStyle w:val="null3"/>
            </w:pPr>
            <w:r>
              <w:rPr>
                <w:rFonts w:ascii="仿宋_GB2312" w:hAnsi="仿宋_GB2312" w:cs="仿宋_GB2312" w:eastAsia="仿宋_GB2312"/>
              </w:rPr>
              <w:t>供应商对“第三章 招标项目技术、服务、商务及其他要求中第3.2.2服务要求” 条款逐条进行明确响应，并提供相关证明材料。服务要求指标每负偏离一项扣2分，扣完为止。 备注： 证明材料包括承诺函或检测报告或协议或合同等相关证明材料。</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总体设计思路及初步方案</w:t>
            </w:r>
          </w:p>
        </w:tc>
        <w:tc>
          <w:tcPr>
            <w:tcW w:type="dxa" w:w="2492"/>
          </w:tcPr>
          <w:p>
            <w:pPr>
              <w:pStyle w:val="null3"/>
            </w:pPr>
            <w:r>
              <w:rPr>
                <w:rFonts w:ascii="仿宋_GB2312" w:hAnsi="仿宋_GB2312" w:cs="仿宋_GB2312" w:eastAsia="仿宋_GB2312"/>
              </w:rPr>
              <w:t>提出针对本项目的拟定总体设计思路及初步方案，方案内容包含①设计方案分析及目标；②服务理念及特色；③重难点分析及解决措施，共3项内容，每项满分3分，总分9分。 其中，每项以服务方案具体内容的针对性、可行性、方案完善性作为采分点；每个采分点按照 1 分、0.8 分、0.5 分、0.3 分、0.1 分、0 分作为具体赋分分值，完全符合采分点要求的得1 分，存在个别瑕疵但是符合采分点要素的得 0.8分，基本符合采分点要求但是存在一定不足的得0.5 分，存在明显不符合采分点要求的得 0.3 分，完全不符合采分点要求的得 0.1 分，未响应相应内容的得 0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进度计划方案</w:t>
            </w:r>
          </w:p>
        </w:tc>
        <w:tc>
          <w:tcPr>
            <w:tcW w:type="dxa" w:w="2492"/>
          </w:tcPr>
          <w:p>
            <w:pPr>
              <w:pStyle w:val="null3"/>
            </w:pPr>
            <w:r>
              <w:rPr>
                <w:rFonts w:ascii="仿宋_GB2312" w:hAnsi="仿宋_GB2312" w:cs="仿宋_GB2312" w:eastAsia="仿宋_GB2312"/>
              </w:rPr>
              <w:t>提出针对于本项目的进度计划方案，方案内容包含①总进度计划；②现场勘察计划；③方案设计计划；④施工图进度计划；⑤成果交付计划，共5项内容，每项满分3分，总分15分。 其中，每项以服务方案具体内容的针对性、可行性、方案完善性作为采分点；每个采分点按照 1 分、0.8 分、0.5 分、0.3 分、0.1 分、0 分作为具体赋分分值，完全符合采分点要求的得1 分，存在个别瑕疵但是符合采分点要素的得 0.8分，基本符合采分点要求但是存在一定不足的得0.5 分，存在明显不符合采分点要求的得 0.3 分，完全不符合采分点要求的得 0.1 分，未响应相应内容的得 0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提出针对于本项目的质量保证措施，方案内容包含①质量管理体系；②质量审核与复核流程；③质量目标与承诺，共3项内容，每项满分3分，总分9分。 其中，每项以服务方案具体内容的针对性、可行性、方案完善性作为采分点；每个采分点按照 1 分、0.8 分、0.5 分、0.3 分、0.1 分、0 分作为具体赋分分值，完全符合采分点要求的得1 分，存在个别瑕疵但是符合采分点要素的得 0.8分，基本符合采分点要求但是存在一定不足的得0.5 分，存在明显不符合采分点要求的得 0.3 分，完全不符合采分点要求的得 0.1 分，未响应相应内容的得 0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提出针对于本项目的服务承诺，承诺内容包含①服务质量保障承诺；②后期支持服务承诺；③附加增值服务承诺，共3项内容，每项满分3分，总分9分。 其中，每项以服务方案具体内容的针对性、可行性、方案完善性作为采分点；每个采分点按照 1 分、0.8 分、0.5 分、0.3 分、0.1 分、0 分作为具体赋分分值，完全符合采分点要求的得1 分，存在个别瑕疵但是符合采分点要素的得 0.8分，基本符合采分点要求但是存在一定不足的得0.5 分，存在明显不符合采分点要求的得 0.3 分，完全不符合采分点要求的得 0.1 分，未响应相应内容的得 0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拟派项目 设计负责人</w:t>
            </w:r>
          </w:p>
        </w:tc>
        <w:tc>
          <w:tcPr>
            <w:tcW w:type="dxa" w:w="2492"/>
          </w:tcPr>
          <w:p>
            <w:pPr>
              <w:pStyle w:val="null3"/>
            </w:pPr>
            <w:r>
              <w:rPr>
                <w:rFonts w:ascii="仿宋_GB2312" w:hAnsi="仿宋_GB2312" w:cs="仿宋_GB2312" w:eastAsia="仿宋_GB2312"/>
              </w:rPr>
              <w:t>1.拟派项目设计负责人学历： 拟派项目负责人具备本科（含）以上学历的得5分，专科学历的得3分，其余不得分。 评审依据：评审时以供应商提供的拟派项目负责人的学历证书扫描件或复印件为准。若提供多个学历证书的，以所提供的最高学历证书为准。 2.拟派项目设计负责人职称： 拟派项目设计负责人具备高级及以上专业技术职称的得5分，具备中级专业职称的得3分；其余不得分。 评审依据：评审时以供应商提供的拟派项目负责人的职称证扫描件或复印件为准。提供多个职称证明材料的，以最高职称证书的扫描件或复印件为准。 3.拟派项目设计负责人业绩： 提供拟派项目设计负责人自2022年12月至今以设计项目负责人身份参加的类似项目业绩证明材料，每提供1份，得5分，此项最多得5分。 评审依据：业绩证明材料以合同或提供向相关文物主管部门备案的设计方案扉页为准，时间以合同或设计方案中体现得时间为准。缺少资料或未按照上述要求提供的，均按照0分计入。</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拟派本项目的人员配备情况，内容包含①人员数量、专业、工作年限，共1项内容，每项满分3分，总分3分。 其中，每项以人员配备情况具体内容的针对性、可行性、方案完善性作为采分点；每个采分点按照 1 分、0.8 分、0.5 分、0.3 分、0.1 分、0 分作为具体赋分分值，完全符合采分点要求的得1 分，存在个别瑕疵但是符合采分点要素的得 0.8分，基本符合采分点要求但是存在一定不足的得0.5 分，存在明显不符合采分点要求的得 0.3 分，完全不符合采分点要求的得 0.1 分，未响应相应内容的得 0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提供供应商2022年12月至今类似项目合同（以合同签订日期为准，需提供复印件），每提供1个得1分，最高得4分。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即满足磋商文件要求且价格最低的磋商报价为评标基准价，其价格分为10分。其他供应商的价格分统一按照下列公式计算：价格分= (评标基准价／磋商报价)×报价分值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详见附件：供应商应提交的相关资格证明文件.docx</w:t>
      </w:r>
    </w:p>
    <w:p>
      <w:pPr>
        <w:pStyle w:val="null3"/>
        <w:ind w:firstLine="960"/>
      </w:pPr>
      <w:r>
        <w:rPr>
          <w:rFonts w:ascii="仿宋_GB2312" w:hAnsi="仿宋_GB2312" w:cs="仿宋_GB2312" w:eastAsia="仿宋_GB2312"/>
        </w:rPr>
        <w:t>详见附件：实施方案.docx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