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FD5B4">
      <w:pPr>
        <w:pStyle w:val="13"/>
        <w:keepNext w:val="0"/>
        <w:keepLines w:val="0"/>
        <w:pageBreakBefore w:val="0"/>
        <w:kinsoku/>
        <w:wordWrap/>
        <w:overflowPunct/>
        <w:topLinePunct w:val="0"/>
        <w:autoSpaceDE/>
        <w:autoSpaceDN/>
        <w:bidi w:val="0"/>
        <w:snapToGrid/>
        <w:spacing w:line="360" w:lineRule="auto"/>
        <w:jc w:val="center"/>
        <w:outlineLvl w:val="1"/>
        <w:rPr>
          <w:rFonts w:hint="eastAsia" w:ascii="宋体" w:hAnsi="宋体" w:eastAsia="宋体" w:cs="宋体"/>
          <w:sz w:val="32"/>
          <w:szCs w:val="32"/>
          <w:highlight w:val="none"/>
        </w:rPr>
      </w:pPr>
      <w:r>
        <w:rPr>
          <w:rFonts w:hint="eastAsia" w:ascii="宋体" w:hAnsi="宋体" w:eastAsia="宋体" w:cs="宋体"/>
          <w:b/>
          <w:sz w:val="32"/>
          <w:szCs w:val="32"/>
          <w:highlight w:val="none"/>
        </w:rPr>
        <w:t>拟签订采购合同文本</w:t>
      </w:r>
    </w:p>
    <w:p w14:paraId="6920C532">
      <w:pPr>
        <w:pStyle w:val="11"/>
        <w:keepNext w:val="0"/>
        <w:keepLines w:val="0"/>
        <w:pageBreakBefore w:val="0"/>
        <w:kinsoku/>
        <w:wordWrap/>
        <w:overflowPunct/>
        <w:topLinePunct w:val="0"/>
        <w:autoSpaceDE/>
        <w:autoSpaceDN/>
        <w:bidi w:val="0"/>
        <w:snapToGrid/>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合同编号： </w:t>
      </w:r>
    </w:p>
    <w:p w14:paraId="7CD0DB0B">
      <w:pPr>
        <w:pStyle w:val="11"/>
        <w:keepNext w:val="0"/>
        <w:keepLines w:val="0"/>
        <w:pageBreakBefore w:val="0"/>
        <w:kinsoku/>
        <w:wordWrap/>
        <w:overflowPunct/>
        <w:topLinePunct w:val="0"/>
        <w:autoSpaceDE/>
        <w:autoSpaceDN/>
        <w:bidi w:val="0"/>
        <w:snapToGrid/>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签订地点： </w:t>
      </w:r>
    </w:p>
    <w:p w14:paraId="1DB7F74D">
      <w:pPr>
        <w:pStyle w:val="11"/>
        <w:keepNext w:val="0"/>
        <w:keepLines w:val="0"/>
        <w:pageBreakBefore w:val="0"/>
        <w:kinsoku/>
        <w:wordWrap/>
        <w:overflowPunct/>
        <w:topLinePunct w:val="0"/>
        <w:autoSpaceDE/>
        <w:autoSpaceDN/>
        <w:bidi w:val="0"/>
        <w:snapToGrid/>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签订时间: </w:t>
      </w:r>
    </w:p>
    <w:p w14:paraId="0567940F">
      <w:pPr>
        <w:pStyle w:val="11"/>
        <w:keepNext w:val="0"/>
        <w:keepLines w:val="0"/>
        <w:pageBreakBefore w:val="0"/>
        <w:kinsoku/>
        <w:wordWrap/>
        <w:overflowPunct/>
        <w:topLinePunct w:val="0"/>
        <w:autoSpaceDE/>
        <w:autoSpaceDN/>
        <w:bidi w:val="0"/>
        <w:snapToGrid/>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是否为专门面向中小企业的采购项目：</w:t>
      </w:r>
      <w:r>
        <w:rPr>
          <w:rFonts w:hint="eastAsia" w:ascii="宋体" w:hAnsi="宋体" w:cs="宋体"/>
          <w:sz w:val="24"/>
          <w:szCs w:val="24"/>
          <w:highlight w:val="none"/>
          <w:lang w:val="en-US" w:eastAsia="zh-CN"/>
        </w:rPr>
        <w:t>否</w:t>
      </w:r>
    </w:p>
    <w:p w14:paraId="6BFD5609">
      <w:pPr>
        <w:pStyle w:val="11"/>
        <w:keepNext w:val="0"/>
        <w:keepLines w:val="0"/>
        <w:pageBreakBefore w:val="0"/>
        <w:kinsoku/>
        <w:wordWrap/>
        <w:overflowPunct/>
        <w:topLinePunct w:val="0"/>
        <w:autoSpaceDE/>
        <w:autoSpaceDN/>
        <w:bidi w:val="0"/>
        <w:snapToGrid/>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采购人（甲方）：</w:t>
      </w:r>
    </w:p>
    <w:p w14:paraId="660EF41F">
      <w:pPr>
        <w:pStyle w:val="11"/>
        <w:keepNext w:val="0"/>
        <w:keepLines w:val="0"/>
        <w:pageBreakBefore w:val="0"/>
        <w:kinsoku/>
        <w:wordWrap/>
        <w:overflowPunct/>
        <w:topLinePunct w:val="0"/>
        <w:autoSpaceDE/>
        <w:autoSpaceDN/>
        <w:bidi w:val="0"/>
        <w:snapToGrid/>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供应商（乙方）：</w:t>
      </w:r>
    </w:p>
    <w:p w14:paraId="32169DF0">
      <w:pPr>
        <w:pStyle w:val="11"/>
        <w:keepNext w:val="0"/>
        <w:keepLines w:val="0"/>
        <w:pageBreakBefore w:val="0"/>
        <w:kinsoku/>
        <w:wordWrap/>
        <w:overflowPunct/>
        <w:topLinePunct w:val="0"/>
        <w:autoSpaceDE/>
        <w:autoSpaceDN/>
        <w:bidi w:val="0"/>
        <w:spacing w:line="360" w:lineRule="auto"/>
        <w:ind w:firstLine="480"/>
        <w:rPr>
          <w:color w:val="000000"/>
          <w:highlight w:val="none"/>
        </w:rPr>
      </w:pPr>
      <w:r>
        <w:rPr>
          <w:rFonts w:hint="eastAsia"/>
          <w:color w:val="000000"/>
          <w:highlight w:val="none"/>
        </w:rPr>
        <w:t>根据《中华人民共和国政府采购法》及实施条例、《中华人民共和国民法典》和甲方</w:t>
      </w:r>
      <w:r>
        <w:rPr>
          <w:rFonts w:hint="eastAsia"/>
          <w:color w:val="000000"/>
          <w:highlight w:val="none"/>
          <w:u w:val="single"/>
        </w:rPr>
        <w:t xml:space="preserve">             </w:t>
      </w:r>
      <w:r>
        <w:rPr>
          <w:rFonts w:hint="eastAsia"/>
          <w:color w:val="000000"/>
          <w:highlight w:val="none"/>
        </w:rPr>
        <w:t xml:space="preserve"> 采购项目（采购项目编号：</w:t>
      </w:r>
      <w:r>
        <w:rPr>
          <w:rFonts w:hint="eastAsia"/>
          <w:color w:val="000000"/>
          <w:highlight w:val="none"/>
          <w:u w:val="single"/>
        </w:rPr>
        <w:t xml:space="preserve">       </w:t>
      </w:r>
      <w:r>
        <w:rPr>
          <w:rFonts w:hint="eastAsia"/>
          <w:color w:val="000000"/>
          <w:highlight w:val="none"/>
        </w:rPr>
        <w:t>）的采购文件、响应文件等有关规定，为确保甲方采购项目的顺利实施，甲、乙双方在平等自愿原则下签订本合同，并共同遵守如下条款，其主要要求如下：</w:t>
      </w:r>
    </w:p>
    <w:p w14:paraId="38EBD8DB">
      <w:pPr>
        <w:keepNext w:val="0"/>
        <w:keepLines w:val="0"/>
        <w:pageBreakBefore w:val="0"/>
        <w:kinsoku/>
        <w:wordWrap/>
        <w:overflowPunct/>
        <w:topLinePunct w:val="0"/>
        <w:autoSpaceDE/>
        <w:autoSpaceDN/>
        <w:bidi w:val="0"/>
        <w:spacing w:line="360" w:lineRule="auto"/>
        <w:ind w:left="425"/>
        <w:rPr>
          <w:rFonts w:hAnsi="宋体"/>
          <w:b/>
          <w:color w:val="000000"/>
          <w:highlight w:val="none"/>
        </w:rPr>
      </w:pPr>
      <w:r>
        <w:rPr>
          <w:rFonts w:hint="eastAsia" w:hAnsi="宋体"/>
          <w:b/>
          <w:color w:val="000000"/>
          <w:highlight w:val="none"/>
        </w:rPr>
        <w:t>第一条   项目基本情况</w:t>
      </w:r>
    </w:p>
    <w:p w14:paraId="56316903">
      <w:pPr>
        <w:keepNext w:val="0"/>
        <w:keepLines w:val="0"/>
        <w:pageBreakBefore w:val="0"/>
        <w:kinsoku/>
        <w:wordWrap/>
        <w:overflowPunct/>
        <w:topLinePunct w:val="0"/>
        <w:autoSpaceDE/>
        <w:autoSpaceDN/>
        <w:bidi w:val="0"/>
        <w:spacing w:line="360" w:lineRule="auto"/>
        <w:ind w:firstLine="480" w:firstLineChars="200"/>
        <w:rPr>
          <w:rFonts w:hint="eastAsia" w:hAnsi="宋体" w:cs="宋体"/>
          <w:color w:val="000000"/>
          <w:highlight w:val="none"/>
          <w:u w:val="none"/>
        </w:rPr>
      </w:pPr>
      <w:r>
        <w:rPr>
          <w:rFonts w:hint="eastAsia" w:hAnsi="宋体" w:cs="宋体"/>
          <w:color w:val="000000"/>
          <w:highlight w:val="none"/>
          <w:u w:val="none"/>
        </w:rPr>
        <w:t>西安市碑林区2026年政府购买居家养老服务项目。</w:t>
      </w:r>
    </w:p>
    <w:p w14:paraId="13E542E0">
      <w:pPr>
        <w:keepNext w:val="0"/>
        <w:keepLines w:val="0"/>
        <w:pageBreakBefore w:val="0"/>
        <w:kinsoku/>
        <w:wordWrap/>
        <w:overflowPunct/>
        <w:topLinePunct w:val="0"/>
        <w:autoSpaceDE/>
        <w:autoSpaceDN/>
        <w:bidi w:val="0"/>
        <w:spacing w:line="360" w:lineRule="auto"/>
        <w:ind w:firstLine="480" w:firstLineChars="200"/>
        <w:rPr>
          <w:rFonts w:hint="eastAsia" w:hAnsi="宋体" w:cs="宋体"/>
          <w:color w:val="000000"/>
          <w:highlight w:val="none"/>
          <w:u w:val="none"/>
          <w:lang w:eastAsia="zh-CN"/>
        </w:rPr>
      </w:pPr>
      <w:r>
        <w:rPr>
          <w:rFonts w:hint="eastAsia" w:hAnsi="宋体" w:cs="宋体"/>
          <w:color w:val="000000"/>
          <w:highlight w:val="none"/>
          <w:u w:val="none"/>
          <w:lang w:eastAsia="zh-CN"/>
        </w:rPr>
        <w:t>嵌入式家庭以床养老工作，坚持“托底服务、自愿申报、属地管理、适度保障、社会参与”原则，履行政府兜底保障职能，整合社区养老服务资源，设立家庭养老床位，以保障老人基本生活服务为主，以政府购买服务方式引导社会力量提供专业化服务。</w:t>
      </w:r>
    </w:p>
    <w:p w14:paraId="743FA379">
      <w:pPr>
        <w:keepNext w:val="0"/>
        <w:keepLines w:val="0"/>
        <w:pageBreakBefore w:val="0"/>
        <w:kinsoku/>
        <w:wordWrap/>
        <w:overflowPunct/>
        <w:topLinePunct w:val="0"/>
        <w:autoSpaceDE/>
        <w:autoSpaceDN/>
        <w:bidi w:val="0"/>
        <w:spacing w:line="360" w:lineRule="auto"/>
        <w:ind w:left="425"/>
        <w:rPr>
          <w:rFonts w:hint="eastAsia" w:ascii="宋体" w:hAnsi="宋体" w:eastAsia="宋体" w:cs="Times New Roman"/>
          <w:b/>
          <w:color w:val="000000"/>
          <w:highlight w:val="none"/>
        </w:rPr>
      </w:pPr>
      <w:r>
        <w:rPr>
          <w:rFonts w:hint="eastAsia" w:ascii="宋体" w:hAnsi="宋体" w:eastAsia="宋体" w:cs="Times New Roman"/>
          <w:b/>
          <w:color w:val="000000"/>
          <w:highlight w:val="none"/>
          <w:lang w:val="en-US" w:eastAsia="zh-CN"/>
        </w:rPr>
        <w:t>第二条</w:t>
      </w:r>
      <w:r>
        <w:rPr>
          <w:rFonts w:hint="eastAsia" w:ascii="宋体" w:hAnsi="宋体" w:eastAsia="宋体" w:cs="Times New Roman"/>
          <w:b/>
          <w:color w:val="000000"/>
          <w:highlight w:val="none"/>
        </w:rPr>
        <w:t xml:space="preserve">  服务期限</w:t>
      </w:r>
    </w:p>
    <w:p w14:paraId="59C8A13D">
      <w:pPr>
        <w:pStyle w:val="11"/>
        <w:keepNext w:val="0"/>
        <w:keepLines w:val="0"/>
        <w:pageBreakBefore w:val="0"/>
        <w:kinsoku/>
        <w:wordWrap/>
        <w:overflowPunct/>
        <w:topLinePunct w:val="0"/>
        <w:autoSpaceDE/>
        <w:autoSpaceDN/>
        <w:bidi w:val="0"/>
        <w:spacing w:line="360" w:lineRule="auto"/>
        <w:ind w:firstLine="480"/>
        <w:rPr>
          <w:rFonts w:hint="default" w:ascii="宋体" w:hAnsi="Times New Roman" w:eastAsia="宋体" w:cs="宋体"/>
          <w:color w:val="000000"/>
          <w:highlight w:val="none"/>
          <w:lang w:val="en-US" w:eastAsia="zh-CN"/>
        </w:rPr>
      </w:pPr>
      <w:r>
        <w:rPr>
          <w:rFonts w:hint="eastAsia" w:ascii="宋体" w:hAnsi="Times New Roman" w:eastAsia="宋体" w:cs="宋体"/>
          <w:color w:val="000000"/>
          <w:highlight w:val="none"/>
          <w:lang w:val="en-US" w:eastAsia="zh-CN"/>
        </w:rPr>
        <w:t>服务期限：</w:t>
      </w:r>
      <w:r>
        <w:rPr>
          <w:rFonts w:hint="eastAsia" w:cs="宋体"/>
          <w:color w:val="000000"/>
          <w:highlight w:val="none"/>
          <w:u w:val="single"/>
          <w:lang w:val="en-US" w:eastAsia="zh-CN"/>
        </w:rPr>
        <w:t xml:space="preserve">        </w:t>
      </w:r>
    </w:p>
    <w:p w14:paraId="1FD1B6DB">
      <w:pPr>
        <w:pStyle w:val="11"/>
        <w:keepNext w:val="0"/>
        <w:keepLines w:val="0"/>
        <w:pageBreakBefore w:val="0"/>
        <w:kinsoku/>
        <w:wordWrap/>
        <w:overflowPunct/>
        <w:topLinePunct w:val="0"/>
        <w:autoSpaceDE/>
        <w:autoSpaceDN/>
        <w:bidi w:val="0"/>
        <w:spacing w:line="360" w:lineRule="auto"/>
        <w:ind w:firstLine="480"/>
        <w:rPr>
          <w:rFonts w:hint="eastAsia" w:ascii="宋体" w:hAnsi="Times New Roman" w:eastAsia="宋体" w:cs="宋体"/>
          <w:color w:val="000000"/>
          <w:highlight w:val="none"/>
          <w:lang w:val="en-US" w:eastAsia="zh-CN"/>
        </w:rPr>
      </w:pPr>
      <w:r>
        <w:rPr>
          <w:rFonts w:hint="eastAsia" w:ascii="宋体" w:hAnsi="Times New Roman" w:eastAsia="宋体" w:cs="宋体"/>
          <w:color w:val="000000"/>
          <w:highlight w:val="none"/>
          <w:lang w:val="en-US" w:eastAsia="zh-CN"/>
        </w:rPr>
        <w:t>本项目合同有效期：自合同签订之日起1年。本项目履行期限三年（一次招标三年沿用），实行一年一考核一签合同的办法，合同每年签订一次。一年期满后，采购人根据相关政策以及成交供应商服务质量与成交供应商续签下一年合同，以本次采购内容及报价为依据。</w:t>
      </w:r>
    </w:p>
    <w:p w14:paraId="7FC6D1DA">
      <w:pPr>
        <w:keepNext w:val="0"/>
        <w:keepLines w:val="0"/>
        <w:pageBreakBefore w:val="0"/>
        <w:kinsoku/>
        <w:wordWrap/>
        <w:overflowPunct/>
        <w:topLinePunct w:val="0"/>
        <w:autoSpaceDE/>
        <w:autoSpaceDN/>
        <w:bidi w:val="0"/>
        <w:spacing w:line="360" w:lineRule="auto"/>
        <w:ind w:left="425"/>
        <w:rPr>
          <w:rFonts w:hAnsi="宋体"/>
          <w:b/>
          <w:color w:val="000000"/>
          <w:highlight w:val="none"/>
        </w:rPr>
      </w:pPr>
      <w:bookmarkStart w:id="0" w:name="_Toc283019214"/>
      <w:bookmarkStart w:id="1" w:name="_Toc247334841"/>
      <w:bookmarkStart w:id="2" w:name="_Toc238984975"/>
      <w:bookmarkStart w:id="3" w:name="_Toc225654644"/>
      <w:bookmarkStart w:id="4" w:name="_Toc282696226"/>
      <w:bookmarkStart w:id="5" w:name="_Toc286993786"/>
      <w:bookmarkStart w:id="6" w:name="_Toc211911348"/>
      <w:bookmarkStart w:id="7" w:name="_Toc225670751"/>
      <w:bookmarkStart w:id="8" w:name="_Toc185395249"/>
      <w:bookmarkStart w:id="9" w:name="_Toc251768862"/>
      <w:bookmarkStart w:id="10" w:name="_Toc211854449"/>
      <w:bookmarkStart w:id="11" w:name="_Toc239233914"/>
      <w:bookmarkStart w:id="12" w:name="_Toc239568418"/>
      <w:bookmarkStart w:id="13" w:name="_Toc237145406"/>
      <w:bookmarkStart w:id="14" w:name="_Toc241833903"/>
      <w:bookmarkStart w:id="15" w:name="_Toc225244852"/>
      <w:bookmarkStart w:id="16" w:name="_Toc212019594"/>
      <w:bookmarkStart w:id="17" w:name="_Toc232492928"/>
      <w:r>
        <w:rPr>
          <w:rFonts w:hint="eastAsia" w:hAnsi="宋体"/>
          <w:b/>
          <w:color w:val="000000"/>
          <w:highlight w:val="none"/>
        </w:rPr>
        <w:t>第三条   服务内容</w:t>
      </w:r>
    </w:p>
    <w:p w14:paraId="3DF403A8">
      <w:pPr>
        <w:pStyle w:val="3"/>
        <w:keepNext w:val="0"/>
        <w:keepLines w:val="0"/>
        <w:pageBreakBefore w:val="0"/>
        <w:widowControl w:val="0"/>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b/>
          <w:bCs/>
          <w:color w:val="auto"/>
          <w:sz w:val="24"/>
          <w:szCs w:val="24"/>
          <w:highlight w:val="none"/>
        </w:rPr>
      </w:pPr>
      <w:bookmarkStart w:id="18" w:name="_Toc20078"/>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服务对象</w:t>
      </w:r>
    </w:p>
    <w:p w14:paraId="76FB3D3A">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重点保障养老的老人</w:t>
      </w:r>
    </w:p>
    <w:p w14:paraId="042FE426">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（1）年满60周岁以上的“三无”（无经济来源、无劳动能力、无法定赡养人）老人。</w:t>
      </w:r>
    </w:p>
    <w:p w14:paraId="74EDD0E5">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（2）经认定过的特困失能老人。</w:t>
      </w:r>
    </w:p>
    <w:p w14:paraId="0FE41136">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（3）人数：“三无”老人5人,经认定过的特困失能老人30人。</w:t>
      </w:r>
    </w:p>
    <w:p w14:paraId="7B05812D">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（4）“三无”老人每天提供2小时家政服务。经认定过的特困失能老人每周提供4小时家政服务。</w:t>
      </w:r>
    </w:p>
    <w:p w14:paraId="3848AA31">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定向扶助养老的老人</w:t>
      </w:r>
    </w:p>
    <w:p w14:paraId="5FC0453C">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年满60周岁以上低保、低收入家庭老人（如同时符合重点保障老人条件的，按重点保障老人的服务标准执行）。</w:t>
      </w:r>
    </w:p>
    <w:p w14:paraId="09ED802F">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年满60周岁以上家庭经济困难的失能、半失能老人（经低保审核，符合低收入标准2倍以内的家庭老人）。</w:t>
      </w:r>
    </w:p>
    <w:p w14:paraId="561DDC1D">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定向扶助养老的老人人数：</w:t>
      </w:r>
      <w:r>
        <w:rPr>
          <w:rFonts w:hint="eastAsia" w:ascii="宋体" w:hAnsi="宋体" w:eastAsia="宋体" w:cs="宋体"/>
          <w:color w:val="auto"/>
          <w:sz w:val="24"/>
          <w:szCs w:val="24"/>
          <w:highlight w:val="none"/>
          <w:lang w:val="en-US" w:eastAsia="zh-CN"/>
        </w:rPr>
        <w:t>41</w:t>
      </w:r>
      <w:r>
        <w:rPr>
          <w:rFonts w:hint="eastAsia" w:ascii="宋体" w:hAnsi="宋体" w:eastAsia="宋体" w:cs="宋体"/>
          <w:color w:val="auto"/>
          <w:sz w:val="24"/>
          <w:szCs w:val="24"/>
          <w:highlight w:val="none"/>
        </w:rPr>
        <w:t>人</w:t>
      </w:r>
    </w:p>
    <w:p w14:paraId="6244DE30">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政府定向扶助老人每</w:t>
      </w:r>
      <w:r>
        <w:rPr>
          <w:rFonts w:hint="eastAsia" w:ascii="宋体" w:hAnsi="宋体" w:eastAsia="宋体" w:cs="宋体"/>
          <w:color w:val="auto"/>
          <w:sz w:val="24"/>
          <w:szCs w:val="24"/>
          <w:highlight w:val="none"/>
          <w:lang w:val="en-US" w:eastAsia="zh-CN"/>
        </w:rPr>
        <w:t>周</w:t>
      </w:r>
      <w:r>
        <w:rPr>
          <w:rFonts w:hint="eastAsia" w:ascii="宋体" w:hAnsi="宋体" w:eastAsia="宋体" w:cs="宋体"/>
          <w:color w:val="auto"/>
          <w:sz w:val="24"/>
          <w:szCs w:val="24"/>
          <w:highlight w:val="none"/>
        </w:rPr>
        <w:t>提供2小时家政服务。</w:t>
      </w:r>
    </w:p>
    <w:p w14:paraId="6E4C46B6">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1.3关爱扶助养老的老人</w:t>
      </w:r>
    </w:p>
    <w:p w14:paraId="73BBC12D">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年满60周岁以上的失独老人。</w:t>
      </w:r>
    </w:p>
    <w:p w14:paraId="6CDCCAA7">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年满60周岁以上的重点优抚对象。</w:t>
      </w:r>
    </w:p>
    <w:p w14:paraId="55EF1E5F">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年满60周岁以上无赡养人或无法联系到子女的独居老人。</w:t>
      </w:r>
    </w:p>
    <w:p w14:paraId="05D12647">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95周岁以上的高龄老人。</w:t>
      </w:r>
    </w:p>
    <w:p w14:paraId="2EEDD7BF">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关爱扶助养老的老人人数：</w:t>
      </w:r>
      <w:r>
        <w:rPr>
          <w:rFonts w:hint="eastAsia" w:ascii="宋体" w:hAnsi="宋体" w:eastAsia="宋体" w:cs="宋体"/>
          <w:color w:val="auto"/>
          <w:sz w:val="24"/>
          <w:szCs w:val="24"/>
          <w:highlight w:val="none"/>
          <w:lang w:val="en-US" w:eastAsia="zh-CN"/>
        </w:rPr>
        <w:t>298</w:t>
      </w:r>
      <w:r>
        <w:rPr>
          <w:rFonts w:hint="eastAsia" w:ascii="宋体" w:hAnsi="宋体" w:eastAsia="宋体" w:cs="宋体"/>
          <w:color w:val="auto"/>
          <w:sz w:val="24"/>
          <w:szCs w:val="24"/>
          <w:highlight w:val="none"/>
        </w:rPr>
        <w:t>人</w:t>
      </w:r>
    </w:p>
    <w:p w14:paraId="537DBD43">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政府关爱扶助老人每周提供2小时家政服务。</w:t>
      </w:r>
    </w:p>
    <w:p w14:paraId="3984ECCF">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服务人数要求：</w:t>
      </w:r>
      <w:r>
        <w:rPr>
          <w:rFonts w:hint="eastAsia" w:ascii="宋体" w:hAnsi="宋体" w:eastAsia="宋体" w:cs="宋体"/>
          <w:color w:val="auto"/>
          <w:sz w:val="24"/>
          <w:szCs w:val="24"/>
          <w:highlight w:val="none"/>
          <w:lang w:eastAsia="zh-CN"/>
        </w:rPr>
        <w:t>合计</w:t>
      </w:r>
      <w:r>
        <w:rPr>
          <w:rFonts w:hint="eastAsia" w:ascii="宋体" w:hAnsi="宋体" w:eastAsia="宋体" w:cs="宋体"/>
          <w:color w:val="auto"/>
          <w:sz w:val="24"/>
          <w:szCs w:val="24"/>
          <w:highlight w:val="none"/>
        </w:rPr>
        <w:t>约</w:t>
      </w:r>
      <w:r>
        <w:rPr>
          <w:rFonts w:hint="eastAsia" w:ascii="宋体" w:hAnsi="宋体" w:cs="宋体"/>
          <w:color w:val="auto"/>
          <w:sz w:val="24"/>
          <w:szCs w:val="24"/>
          <w:highlight w:val="none"/>
          <w:lang w:val="en-US" w:eastAsia="zh-CN"/>
        </w:rPr>
        <w:t>374</w:t>
      </w:r>
      <w:bookmarkStart w:id="62" w:name="_GoBack"/>
      <w:bookmarkEnd w:id="62"/>
      <w:r>
        <w:rPr>
          <w:rFonts w:hint="eastAsia" w:ascii="宋体" w:hAnsi="宋体" w:eastAsia="宋体" w:cs="宋体"/>
          <w:color w:val="auto"/>
          <w:sz w:val="24"/>
          <w:szCs w:val="24"/>
          <w:highlight w:val="none"/>
        </w:rPr>
        <w:t xml:space="preserve">人（具体以实际服务人数为准） </w:t>
      </w:r>
    </w:p>
    <w:p w14:paraId="1BBED917">
      <w:pPr>
        <w:pStyle w:val="3"/>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服务内容</w:t>
      </w:r>
    </w:p>
    <w:p w14:paraId="37035753">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2.1</w:t>
      </w:r>
      <w:r>
        <w:rPr>
          <w:rFonts w:hint="eastAsia" w:ascii="宋体" w:hAnsi="宋体" w:eastAsia="宋体" w:cs="宋体"/>
          <w:color w:val="auto"/>
          <w:sz w:val="24"/>
          <w:szCs w:val="24"/>
          <w:highlight w:val="none"/>
        </w:rPr>
        <w:t>服务范围</w:t>
      </w:r>
    </w:p>
    <w:p w14:paraId="3E56B114">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生活照料服务：主要包括助餐服务、起居服务、助浴服务、卫生清理服务、代购服务。</w:t>
      </w:r>
    </w:p>
    <w:p w14:paraId="448E2C29">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其他服务：根据为老服务工作实际开展情况和服务对象的个性化需求，适时扩展政府购买居家养老服务的新项目、新内容。</w:t>
      </w:r>
    </w:p>
    <w:p w14:paraId="640A4083">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2.2</w:t>
      </w:r>
      <w:r>
        <w:rPr>
          <w:rFonts w:hint="eastAsia" w:ascii="宋体" w:hAnsi="宋体" w:eastAsia="宋体" w:cs="宋体"/>
          <w:color w:val="auto"/>
          <w:sz w:val="24"/>
          <w:szCs w:val="24"/>
          <w:highlight w:val="none"/>
        </w:rPr>
        <w:t>服务机构要求</w:t>
      </w:r>
    </w:p>
    <w:p w14:paraId="6021E317">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应具有与其业务范围相适应的管理人员和服务员；</w:t>
      </w:r>
    </w:p>
    <w:p w14:paraId="3E983B12">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应具有与其业务范围相适应的固定的经营场所、工作设备；</w:t>
      </w:r>
    </w:p>
    <w:p w14:paraId="31163D76">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对服务实行明码标价，实施公开承诺服务。</w:t>
      </w:r>
    </w:p>
    <w:p w14:paraId="290F7ED6">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服务人员要求</w:t>
      </w:r>
    </w:p>
    <w:p w14:paraId="12AB1CA6">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具备相应的劳动从业资格；</w:t>
      </w:r>
    </w:p>
    <w:p w14:paraId="5A4DCD0F">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信守职业道德，遵纪守法，熟悉居家养老服务程序和规范要求；</w:t>
      </w:r>
    </w:p>
    <w:p w14:paraId="18E17631">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具有符合工作岗位要求的文化程度、健康状况证明及沟通能力；</w:t>
      </w:r>
    </w:p>
    <w:p w14:paraId="35D01DE9">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提倡使用普通话，语言文明、简洁、清晰；</w:t>
      </w:r>
    </w:p>
    <w:p w14:paraId="03C7077B">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主动服务，符合相应岗位的服务礼仪规范；</w:t>
      </w:r>
    </w:p>
    <w:p w14:paraId="14666F2E">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尊老爱老，态度和蔼，尊重老人的隐私权、名誉权。</w:t>
      </w:r>
    </w:p>
    <w:p w14:paraId="79BE06F9">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为保证服务质量，鼓励服务机构聘用老年医学、护理学、心理学、营养学等方面的专业人才为政府购买服务对象提供居家养老服务。</w:t>
      </w:r>
    </w:p>
    <w:p w14:paraId="4DBFBC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bidi="zh-TW"/>
        </w:rPr>
      </w:pPr>
      <w:r>
        <w:rPr>
          <w:rFonts w:hint="eastAsia" w:ascii="宋体" w:hAnsi="宋体" w:eastAsia="宋体" w:cs="宋体"/>
          <w:color w:val="000000"/>
          <w:sz w:val="24"/>
          <w:szCs w:val="24"/>
          <w:highlight w:val="none"/>
          <w:lang w:val="en-US" w:eastAsia="zh-CN" w:bidi="zh-TW"/>
        </w:rPr>
        <w:t>2.4</w:t>
      </w:r>
      <w:r>
        <w:rPr>
          <w:rFonts w:hint="eastAsia" w:ascii="宋体" w:hAnsi="宋体" w:eastAsia="宋体" w:cs="宋体"/>
          <w:color w:val="000000"/>
          <w:sz w:val="24"/>
          <w:szCs w:val="24"/>
          <w:highlight w:val="none"/>
          <w:lang w:bidi="zh-TW"/>
        </w:rPr>
        <w:t>服务标准</w:t>
      </w:r>
    </w:p>
    <w:p w14:paraId="0E3C28AE">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）清理家庭环境卫生：</w:t>
      </w:r>
    </w:p>
    <w:p w14:paraId="688FC5CD">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家居保洁的总体标准：干净、整洁、及时、贴心、周到。</w:t>
      </w:r>
    </w:p>
    <w:p w14:paraId="3A79EC2F">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室内保洁标准：室内清洁应按照规范的清洁顺序，由里到外，由高到低，由边角到中央进行打扫，达到整洁干净，空气清新的效果。</w:t>
      </w:r>
    </w:p>
    <w:p w14:paraId="064106D2">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客厅：地面、家具无灰尘、无水迹、客厅用具摆放整齐。</w:t>
      </w:r>
    </w:p>
    <w:p w14:paraId="4FE084A9">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卧室：床单、被罩、沙发罩、桌布等要干净、平整。</w:t>
      </w:r>
    </w:p>
    <w:p w14:paraId="55978B7A">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厨房：墙壁、灶台、地面无油膩、无积尘、无水迹，厨房用具摆放整齐有序、取用方便；垃圾桶无污垢、无异味。</w:t>
      </w:r>
    </w:p>
    <w:p w14:paraId="0BF1EF6C">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卫生间：天花板、墙壁无污物、无积尘、无水迹。卫生洁具无污、光亮洁净、无异味。</w:t>
      </w:r>
    </w:p>
    <w:p w14:paraId="096F3279">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门窗：门窗边框干净无污，玻璃、窗台明亮、无尘。</w:t>
      </w:r>
    </w:p>
    <w:p w14:paraId="70A440DC">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衣物的洗涤按照颜色、质地、用途等分类进行，有消毒要求的，必须进行消毒处理。</w:t>
      </w:r>
    </w:p>
    <w:p w14:paraId="4060E66A">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衣柜整理服务：分类放置衣物、春夏秋冬衣服、鞋袜、围巾、帽子等分类收纳。</w:t>
      </w:r>
    </w:p>
    <w:p w14:paraId="49CCEA55">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协助老人进行个人卫生：</w:t>
      </w:r>
    </w:p>
    <w:p w14:paraId="08E6C8F6">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老人个人卫生服务标准：根据老人的自身情况及家庭情况，给老人洗浴、修剪指甲、洗头洗脚、换洗衣服、清洗被褥；</w:t>
      </w:r>
    </w:p>
    <w:p w14:paraId="6C7871A0">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洗脸：</w:t>
      </w:r>
    </w:p>
    <w:p w14:paraId="05BD182B">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水温适宜，擦洗动作轻柔； </w:t>
      </w:r>
    </w:p>
    <w:p w14:paraId="2D4E1592">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颜面部干净，眼部无分泌物，口角、耳后、颈部无污垢； </w:t>
      </w:r>
    </w:p>
    <w:p w14:paraId="65E691EC">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褶皱较多部位（如眼角、耳道及耳廓）重点擦拭； </w:t>
      </w:r>
    </w:p>
    <w:p w14:paraId="6B319EF6">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洗脸后适当涂抹润肤霜，防止干燥。 </w:t>
      </w:r>
    </w:p>
    <w:p w14:paraId="33BA2343">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洗手、洗脚：</w:t>
      </w:r>
    </w:p>
    <w:p w14:paraId="406D3B12">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洗手/洗脚用具分开，用后立即清洗； </w:t>
      </w:r>
    </w:p>
    <w:p w14:paraId="10270500">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将手/脚放入调节好水温的用具中充分浸泡； </w:t>
      </w:r>
    </w:p>
    <w:p w14:paraId="062B0DF5">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动作轻柔； </w:t>
      </w:r>
    </w:p>
    <w:p w14:paraId="7947E582">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用适量肥皂或洗手液细致擦洗，去除手/脚部污垢和死皮； </w:t>
      </w:r>
    </w:p>
    <w:p w14:paraId="4D2D0F5F">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必要时洗后适当涂抹润肤霜，防止干燥。 </w:t>
      </w:r>
    </w:p>
    <w:p w14:paraId="6BCEF944">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洗发： </w:t>
      </w:r>
    </w:p>
    <w:p w14:paraId="2E64FCEC">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控制水温至40℃～45℃，防止水流入眼睛及耳朵； </w:t>
      </w:r>
    </w:p>
    <w:p w14:paraId="73B6278B">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用指腹揉搓头皮及头发，力量适中，避免抓伤头皮； </w:t>
      </w:r>
    </w:p>
    <w:p w14:paraId="14507B57">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洗净后吹干头发，防止受凉。 </w:t>
      </w:r>
    </w:p>
    <w:p w14:paraId="6699471A">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梳头： </w:t>
      </w:r>
    </w:p>
    <w:p w14:paraId="4517B327">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宜选择圆钝的梳子； </w:t>
      </w:r>
    </w:p>
    <w:p w14:paraId="51FDCA61">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由发根到发梢梳理，动作轻柔；</w:t>
      </w:r>
    </w:p>
    <w:p w14:paraId="4542B7E3">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鼓励每天多梳头，改善头部血液循环。 </w:t>
      </w:r>
    </w:p>
    <w:p w14:paraId="226FCEE6">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口腔清洁： </w:t>
      </w:r>
    </w:p>
    <w:p w14:paraId="0E2799EB">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戴有活动性义齿者，取下义齿后再进行口腔清洁； </w:t>
      </w:r>
    </w:p>
    <w:p w14:paraId="457183C1">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擦拭手法正确，擦拭用具切忌伤及口腔黏膜及牙龈； </w:t>
      </w:r>
    </w:p>
    <w:p w14:paraId="3369DCF8">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擦拭时棉球/纱布不应过湿，防止引起呛咳。 </w:t>
      </w:r>
    </w:p>
    <w:p w14:paraId="68E4DA66">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沐浴:</w:t>
      </w:r>
    </w:p>
    <w:p w14:paraId="1177B0C3">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水温40℃～50℃，室温（24±2）℃； </w:t>
      </w:r>
    </w:p>
    <w:p w14:paraId="3483F294">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沐浴前进行安全提示，忌空腹或饱餐时沐浴，忌突然蹲下或站立； </w:t>
      </w:r>
    </w:p>
    <w:p w14:paraId="021E65E4">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沐浴前水温调节适宜，先开冷水，再开热水； </w:t>
      </w:r>
    </w:p>
    <w:p w14:paraId="6453D00E">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沐浴时取舒适、稳固的坐位，肢体处于功能体位； </w:t>
      </w:r>
    </w:p>
    <w:p w14:paraId="71302E2E">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先面部后躯体，注意观察老人身体情况，发现异常及时处理； </w:t>
      </w:r>
    </w:p>
    <w:p w14:paraId="4F2CB3B0">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沐浴时服务员要防止老人跌伤和烫伤； </w:t>
      </w:r>
    </w:p>
    <w:p w14:paraId="685AC632">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注意防寒保暖、防暑降温及浴室内的通风； </w:t>
      </w:r>
    </w:p>
    <w:p w14:paraId="7254AB79">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沐浴后身上无异味、无污垢，皮肤干洁。 </w:t>
      </w:r>
    </w:p>
    <w:p w14:paraId="032241F9">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剃胡须:</w:t>
      </w:r>
    </w:p>
    <w:p w14:paraId="29F631B7">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保持颜面部无长须； </w:t>
      </w:r>
    </w:p>
    <w:p w14:paraId="7992B115">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使用电动剃须刀，定期消毒、更换剃须刀片，保持剃须用具清洁，避免细菌滋生。 </w:t>
      </w:r>
    </w:p>
    <w:p w14:paraId="1C35FC78">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动作轻柔，防止刮伤皮肤； </w:t>
      </w:r>
    </w:p>
    <w:p w14:paraId="16B205BC">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剃完后用温水擦拭干净，必要时适当涂抹润肤霜。 </w:t>
      </w:r>
    </w:p>
    <w:p w14:paraId="18AC3BD3">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生活起居护理： </w:t>
      </w:r>
    </w:p>
    <w:p w14:paraId="5D6B8657">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卧位护理： </w:t>
      </w:r>
    </w:p>
    <w:p w14:paraId="6E4908F7">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根据老人的身体状况及护理要求调整老人体位； </w:t>
      </w:r>
    </w:p>
    <w:p w14:paraId="363B4398">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保持姿势稳定，并在受压部位垫衬枕头、海绵垫或气垫等； </w:t>
      </w:r>
    </w:p>
    <w:p w14:paraId="2ABC448D">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翻身后整理床单，适当按摩受。</w:t>
      </w:r>
    </w:p>
    <w:p w14:paraId="358B5A2F">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上门送餐或在老人家中协助准备膳食或帮助老人进食服务：</w:t>
      </w:r>
    </w:p>
    <w:p w14:paraId="6A26A35C">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米饭：软硬适中，不夹生、不黏软、不焦糊</w:t>
      </w:r>
    </w:p>
    <w:p w14:paraId="2CB7730E">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手擀面：粗细均匀、软硬适中、口感筋道</w:t>
      </w:r>
    </w:p>
    <w:p w14:paraId="20F77FEA">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水饺：大小均匀一致，皮薄筋道爽滑</w:t>
      </w:r>
    </w:p>
    <w:p w14:paraId="26803224">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凉菜：少而精，搭配合理，色、香、味、型俱佳</w:t>
      </w:r>
    </w:p>
    <w:p w14:paraId="3ABA704E">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热菜：色香味美，火候适宜</w:t>
      </w:r>
    </w:p>
    <w:p w14:paraId="4DF60FF2">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稀饭：水、米比例合适，稀稠程度符合老人要求</w:t>
      </w:r>
    </w:p>
    <w:p w14:paraId="1F2F0293">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为老人盛饭，并摆放在其方便就餐的位置，对无法自己就餐的老人，服务员要给其喂饭。就餐完毕，服务员要负责清理餐桌，收拾剩余食物，将餐桌擦拭干净，清洗厨具、灶具、打扫厨房卫生，并将垃圾及时分类处理</w:t>
      </w:r>
    </w:p>
    <w:p w14:paraId="4140F2D5">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协助办理家庭日常事务：</w:t>
      </w:r>
    </w:p>
    <w:p w14:paraId="4840D98D">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代购物品、代领物品、代缴费用。代办服务时应当面清点钱物、证件、单据等。</w:t>
      </w:r>
    </w:p>
    <w:p w14:paraId="6D8010D6">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根据医嘱同意，可陪同老人在居住附近安全合理的地区进行户外活动：</w:t>
      </w:r>
    </w:p>
    <w:p w14:paraId="3378187D">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陪老人到户外进行康复训练，到公园及名胜古迹游玩。</w:t>
      </w:r>
    </w:p>
    <w:p w14:paraId="42A33623">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医疗康复训练：</w:t>
      </w:r>
    </w:p>
    <w:p w14:paraId="49C57915">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指导并协助有需要的老人正确使用康复、保健仪器和辅助器械；</w:t>
      </w:r>
    </w:p>
    <w:p w14:paraId="23B86439">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康复辅助过程中应注意观察老人的身体适应情况，防止损伤。</w:t>
      </w:r>
    </w:p>
    <w:p w14:paraId="691B4A54">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被动运动的肢体功能性康复训练;</w:t>
      </w:r>
    </w:p>
    <w:p w14:paraId="27BA7455">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辅助运动的肢体功能性康复训练;</w:t>
      </w:r>
    </w:p>
    <w:p w14:paraId="2B0676AA">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保健性康复；</w:t>
      </w:r>
    </w:p>
    <w:p w14:paraId="22A7B800">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陪同就医、帮助测量血压、代购非处方药品等；</w:t>
      </w:r>
    </w:p>
    <w:p w14:paraId="64F146B0">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协助正确使用康复保健仪器，进行康复训练；</w:t>
      </w:r>
    </w:p>
    <w:p w14:paraId="26D32112">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提供健康保健知识；</w:t>
      </w:r>
    </w:p>
    <w:p w14:paraId="68274F34">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心理疏导、心理咨询、陪聊、陪读、欣赏游玩。     </w:t>
      </w:r>
    </w:p>
    <w:p w14:paraId="58153F70">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进行康复护理、营养保健、健康知识咨询。</w:t>
      </w:r>
    </w:p>
    <w:p w14:paraId="32A1B404">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协助有需要的老人通过网络、电视、广播、报刊杂志等多种方式了解新闻和知识；陪聊、陪读、欣赏游玩</w:t>
      </w:r>
    </w:p>
    <w:p w14:paraId="6BAFD3FF">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经常与老人进行交流，了解其心理特点。要了解掌握老人的心理特点，观察其心理变化，要与老人进行一定的沟通交流。给老人讲解积极向上的传播正能量的刊物，缓解老人心理压力。根据老人的实际需求，安排专业医生对老人进行心理辅导。</w:t>
      </w:r>
    </w:p>
    <w:p w14:paraId="40CADE5E">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对有需求的老人提供简单的文艺：如唱歌等辅导；</w:t>
      </w:r>
    </w:p>
    <w:p w14:paraId="618EFEB4">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对有能力的老人提供手工编织、绘画或其他适宜在家庭环境中进行的职业康复功能训练和辅导；</w:t>
      </w:r>
    </w:p>
    <w:p w14:paraId="11DBDB4D">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协助陪同老人参与与其身体状况相适应的文体活动及有益身心的公益活动。</w:t>
      </w:r>
    </w:p>
    <w:p w14:paraId="0896664C">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其他个性化服务：</w:t>
      </w:r>
    </w:p>
    <w:p w14:paraId="47067989">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根据老人的需求，随时安排给老人理发；安排专人负责人老人家庭的家电维修、疏通下水管道、修理纱窗、煤气灶等。</w:t>
      </w:r>
    </w:p>
    <w:p w14:paraId="35041741">
      <w:pPr>
        <w:keepNext w:val="0"/>
        <w:keepLines w:val="0"/>
        <w:pageBreakBefore w:val="0"/>
        <w:widowControl/>
        <w:kinsoku/>
        <w:wordWrap/>
        <w:overflowPunct/>
        <w:topLinePunct w:val="0"/>
        <w:autoSpaceDE/>
        <w:autoSpaceDN/>
        <w:bidi w:val="0"/>
        <w:snapToGrid/>
        <w:spacing w:line="360" w:lineRule="auto"/>
        <w:ind w:firstLine="482" w:firstLineChars="200"/>
        <w:jc w:val="left"/>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第四条  服务费用及支付方式</w:t>
      </w:r>
      <w:bookmarkEnd w:id="18"/>
    </w:p>
    <w:p w14:paraId="1EF11206">
      <w:pPr>
        <w:pStyle w:val="2"/>
        <w:keepNext w:val="0"/>
        <w:keepLines w:val="0"/>
        <w:pageBreakBefore w:val="0"/>
        <w:widowControl w:val="0"/>
        <w:numPr>
          <w:ilvl w:val="0"/>
          <w:numId w:val="0"/>
        </w:numP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Cs/>
          <w:color w:val="auto"/>
          <w:sz w:val="24"/>
          <w:szCs w:val="24"/>
          <w:highlight w:val="none"/>
        </w:rPr>
        <w:t>.</w:t>
      </w:r>
      <w:r>
        <w:rPr>
          <w:rFonts w:hint="eastAsia" w:ascii="宋体" w:hAnsi="宋体" w:eastAsia="宋体" w:cs="宋体"/>
          <w:b w:val="0"/>
          <w:bCs w:val="0"/>
          <w:sz w:val="24"/>
          <w:szCs w:val="24"/>
          <w:highlight w:val="none"/>
          <w:lang w:val="en-US" w:eastAsia="zh-CN"/>
        </w:rPr>
        <w:t>服务费按下列比例支付价款</w:t>
      </w:r>
    </w:p>
    <w:p w14:paraId="29EC506F">
      <w:pPr>
        <w:pStyle w:val="2"/>
        <w:keepNext w:val="0"/>
        <w:keepLines w:val="0"/>
        <w:pageBreakBefore w:val="0"/>
        <w:widowControl w:val="0"/>
        <w:kinsoku/>
        <w:wordWrap/>
        <w:overflowPunct/>
        <w:topLinePunct w:val="0"/>
        <w:autoSpaceDE/>
        <w:autoSpaceDN/>
        <w:bidi w:val="0"/>
        <w:adjustRightInd/>
        <w:snapToGrid/>
        <w:spacing w:before="0" w:line="360" w:lineRule="auto"/>
        <w:ind w:left="859" w:leftChars="200" w:hanging="379" w:hangingChars="158"/>
        <w:textAlignment w:val="auto"/>
        <w:rPr>
          <w:rFonts w:hint="eastAsia" w:ascii="宋体" w:hAnsi="宋体" w:eastAsia="宋体" w:cs="宋体"/>
          <w:b w:val="0"/>
          <w:bCs w:val="0"/>
          <w:i w:val="0"/>
          <w:iCs w:val="0"/>
          <w:caps w:val="0"/>
          <w:spacing w:val="0"/>
          <w:sz w:val="24"/>
          <w:szCs w:val="24"/>
          <w:highlight w:val="none"/>
          <w:shd w:val="clear" w:color="auto" w:fill="FFFFFF"/>
        </w:rPr>
      </w:pPr>
      <w:r>
        <w:rPr>
          <w:rFonts w:hint="eastAsia" w:hAnsi="宋体" w:cs="仿宋_GB2312"/>
          <w:color w:val="auto"/>
          <w:szCs w:val="21"/>
          <w:highlight w:val="none"/>
        </w:rPr>
        <w:t>“三无”老人</w:t>
      </w:r>
      <w:r>
        <w:rPr>
          <w:rFonts w:hint="eastAsia" w:ascii="宋体" w:hAnsi="宋体" w:eastAsia="宋体" w:cs="宋体"/>
          <w:b w:val="0"/>
          <w:bCs w:val="0"/>
          <w:i w:val="0"/>
          <w:iCs w:val="0"/>
          <w:caps w:val="0"/>
          <w:spacing w:val="0"/>
          <w:sz w:val="24"/>
          <w:szCs w:val="24"/>
          <w:highlight w:val="none"/>
          <w:shd w:val="clear" w:color="auto" w:fill="FFFFFF"/>
        </w:rPr>
        <w:t>服务单价</w:t>
      </w:r>
      <w:r>
        <w:rPr>
          <w:rFonts w:hint="eastAsia" w:ascii="宋体" w:hAnsi="宋体" w:cs="宋体"/>
          <w:b w:val="0"/>
          <w:bCs w:val="0"/>
          <w:i w:val="0"/>
          <w:iCs w:val="0"/>
          <w:caps w:val="0"/>
          <w:spacing w:val="0"/>
          <w:sz w:val="24"/>
          <w:szCs w:val="24"/>
          <w:highlight w:val="none"/>
          <w:shd w:val="clear" w:color="auto" w:fill="FFFFFF"/>
          <w:lang w:eastAsia="zh-CN"/>
        </w:rPr>
        <w:t>：</w:t>
      </w:r>
      <w:r>
        <w:rPr>
          <w:rFonts w:hint="eastAsia" w:ascii="宋体" w:hAnsi="宋体" w:cs="宋体"/>
          <w:b w:val="0"/>
          <w:bCs w:val="0"/>
          <w:i w:val="0"/>
          <w:iCs w:val="0"/>
          <w:caps w:val="0"/>
          <w:spacing w:val="0"/>
          <w:sz w:val="24"/>
          <w:szCs w:val="24"/>
          <w:highlight w:val="none"/>
          <w:u w:val="single"/>
          <w:shd w:val="clear" w:color="auto" w:fill="FFFFFF"/>
          <w:lang w:val="en-US" w:eastAsia="zh-CN"/>
        </w:rPr>
        <w:t xml:space="preserve">       </w:t>
      </w:r>
      <w:r>
        <w:rPr>
          <w:rFonts w:hint="eastAsia" w:ascii="宋体" w:hAnsi="宋体" w:eastAsia="宋体" w:cs="宋体"/>
          <w:b w:val="0"/>
          <w:bCs w:val="0"/>
          <w:i w:val="0"/>
          <w:iCs w:val="0"/>
          <w:caps w:val="0"/>
          <w:spacing w:val="0"/>
          <w:sz w:val="24"/>
          <w:szCs w:val="24"/>
          <w:highlight w:val="none"/>
          <w:shd w:val="clear" w:color="auto" w:fill="FFFFFF"/>
        </w:rPr>
        <w:t>元/人/小时；</w:t>
      </w:r>
    </w:p>
    <w:p w14:paraId="2ADECE4B">
      <w:pPr>
        <w:pStyle w:val="2"/>
        <w:keepNext w:val="0"/>
        <w:keepLines w:val="0"/>
        <w:pageBreakBefore w:val="0"/>
        <w:widowControl w:val="0"/>
        <w:kinsoku/>
        <w:wordWrap/>
        <w:overflowPunct/>
        <w:topLinePunct w:val="0"/>
        <w:autoSpaceDE/>
        <w:autoSpaceDN/>
        <w:bidi w:val="0"/>
        <w:adjustRightInd/>
        <w:snapToGrid/>
        <w:spacing w:before="0" w:line="360" w:lineRule="auto"/>
        <w:ind w:left="859" w:leftChars="200" w:hanging="379" w:hangingChars="158"/>
        <w:textAlignment w:val="auto"/>
        <w:rPr>
          <w:rFonts w:hint="eastAsia"/>
          <w:color w:val="auto"/>
          <w:szCs w:val="21"/>
          <w:highlight w:val="none"/>
        </w:rPr>
      </w:pPr>
      <w:r>
        <w:rPr>
          <w:rFonts w:hint="eastAsia"/>
          <w:color w:val="auto"/>
          <w:szCs w:val="21"/>
          <w:highlight w:val="none"/>
        </w:rPr>
        <w:t>经认定过的特困失能老人</w:t>
      </w:r>
      <w:r>
        <w:rPr>
          <w:rFonts w:hint="eastAsia" w:ascii="宋体" w:hAnsi="宋体" w:eastAsia="宋体" w:cs="宋体"/>
          <w:b w:val="0"/>
          <w:bCs w:val="0"/>
          <w:i w:val="0"/>
          <w:iCs w:val="0"/>
          <w:caps w:val="0"/>
          <w:spacing w:val="0"/>
          <w:sz w:val="24"/>
          <w:szCs w:val="24"/>
          <w:highlight w:val="none"/>
          <w:shd w:val="clear" w:color="auto" w:fill="FFFFFF"/>
        </w:rPr>
        <w:t>服务单价</w:t>
      </w:r>
      <w:r>
        <w:rPr>
          <w:rFonts w:hint="eastAsia" w:ascii="宋体" w:hAnsi="宋体" w:cs="宋体"/>
          <w:b w:val="0"/>
          <w:bCs w:val="0"/>
          <w:i w:val="0"/>
          <w:iCs w:val="0"/>
          <w:caps w:val="0"/>
          <w:spacing w:val="0"/>
          <w:sz w:val="24"/>
          <w:szCs w:val="24"/>
          <w:highlight w:val="none"/>
          <w:shd w:val="clear" w:color="auto" w:fill="FFFFFF"/>
          <w:lang w:eastAsia="zh-CN"/>
        </w:rPr>
        <w:t>：</w:t>
      </w:r>
      <w:r>
        <w:rPr>
          <w:rFonts w:hint="eastAsia" w:ascii="宋体" w:hAnsi="宋体" w:cs="宋体"/>
          <w:b w:val="0"/>
          <w:bCs w:val="0"/>
          <w:i w:val="0"/>
          <w:iCs w:val="0"/>
          <w:caps w:val="0"/>
          <w:spacing w:val="0"/>
          <w:sz w:val="24"/>
          <w:szCs w:val="24"/>
          <w:highlight w:val="none"/>
          <w:u w:val="single"/>
          <w:shd w:val="clear" w:color="auto" w:fill="FFFFFF"/>
          <w:lang w:val="en-US" w:eastAsia="zh-CN"/>
        </w:rPr>
        <w:t xml:space="preserve">       </w:t>
      </w:r>
      <w:r>
        <w:rPr>
          <w:rFonts w:hint="eastAsia" w:ascii="宋体" w:hAnsi="宋体" w:eastAsia="宋体" w:cs="宋体"/>
          <w:b w:val="0"/>
          <w:bCs w:val="0"/>
          <w:i w:val="0"/>
          <w:iCs w:val="0"/>
          <w:caps w:val="0"/>
          <w:spacing w:val="0"/>
          <w:sz w:val="24"/>
          <w:szCs w:val="24"/>
          <w:highlight w:val="none"/>
          <w:shd w:val="clear" w:color="auto" w:fill="FFFFFF"/>
        </w:rPr>
        <w:t>元/人/小时；</w:t>
      </w:r>
    </w:p>
    <w:p w14:paraId="59E573FE">
      <w:pPr>
        <w:pStyle w:val="2"/>
        <w:keepNext w:val="0"/>
        <w:keepLines w:val="0"/>
        <w:pageBreakBefore w:val="0"/>
        <w:widowControl w:val="0"/>
        <w:kinsoku/>
        <w:wordWrap/>
        <w:overflowPunct/>
        <w:topLinePunct w:val="0"/>
        <w:autoSpaceDE/>
        <w:autoSpaceDN/>
        <w:bidi w:val="0"/>
        <w:adjustRightInd/>
        <w:snapToGrid/>
        <w:spacing w:before="0" w:line="360" w:lineRule="auto"/>
        <w:ind w:left="859" w:leftChars="200" w:hanging="379" w:hangingChars="158"/>
        <w:textAlignment w:val="auto"/>
        <w:rPr>
          <w:rFonts w:hint="eastAsia" w:ascii="宋体" w:hAnsi="宋体" w:eastAsia="宋体" w:cs="宋体"/>
          <w:b w:val="0"/>
          <w:bCs w:val="0"/>
          <w:i w:val="0"/>
          <w:iCs w:val="0"/>
          <w:caps w:val="0"/>
          <w:spacing w:val="0"/>
          <w:sz w:val="24"/>
          <w:szCs w:val="24"/>
          <w:highlight w:val="none"/>
          <w:shd w:val="clear" w:color="auto" w:fill="FFFFFF"/>
          <w:lang w:eastAsia="zh-CN"/>
        </w:rPr>
      </w:pPr>
      <w:r>
        <w:rPr>
          <w:rFonts w:hint="eastAsia"/>
          <w:color w:val="auto"/>
          <w:szCs w:val="21"/>
          <w:highlight w:val="none"/>
        </w:rPr>
        <w:t>定向扶助养老的老人</w:t>
      </w:r>
      <w:r>
        <w:rPr>
          <w:rFonts w:hint="eastAsia" w:ascii="宋体" w:hAnsi="宋体" w:eastAsia="宋体" w:cs="宋体"/>
          <w:b w:val="0"/>
          <w:bCs w:val="0"/>
          <w:i w:val="0"/>
          <w:iCs w:val="0"/>
          <w:caps w:val="0"/>
          <w:spacing w:val="0"/>
          <w:sz w:val="24"/>
          <w:szCs w:val="24"/>
          <w:highlight w:val="none"/>
          <w:shd w:val="clear" w:color="auto" w:fill="FFFFFF"/>
        </w:rPr>
        <w:t>服务单价</w:t>
      </w:r>
      <w:r>
        <w:rPr>
          <w:rFonts w:hint="eastAsia" w:ascii="宋体" w:hAnsi="宋体" w:cs="宋体"/>
          <w:b w:val="0"/>
          <w:bCs w:val="0"/>
          <w:i w:val="0"/>
          <w:iCs w:val="0"/>
          <w:caps w:val="0"/>
          <w:spacing w:val="0"/>
          <w:sz w:val="24"/>
          <w:szCs w:val="24"/>
          <w:highlight w:val="none"/>
          <w:shd w:val="clear" w:color="auto" w:fill="FFFFFF"/>
          <w:lang w:eastAsia="zh-CN"/>
        </w:rPr>
        <w:t>：</w:t>
      </w:r>
      <w:r>
        <w:rPr>
          <w:rFonts w:hint="eastAsia" w:ascii="宋体" w:hAnsi="宋体" w:cs="宋体"/>
          <w:b w:val="0"/>
          <w:bCs w:val="0"/>
          <w:i w:val="0"/>
          <w:iCs w:val="0"/>
          <w:caps w:val="0"/>
          <w:spacing w:val="0"/>
          <w:sz w:val="24"/>
          <w:szCs w:val="24"/>
          <w:highlight w:val="none"/>
          <w:u w:val="single"/>
          <w:shd w:val="clear" w:color="auto" w:fill="FFFFFF"/>
          <w:lang w:val="en-US" w:eastAsia="zh-CN"/>
        </w:rPr>
        <w:t xml:space="preserve">       </w:t>
      </w:r>
      <w:r>
        <w:rPr>
          <w:rFonts w:hint="eastAsia" w:ascii="宋体" w:hAnsi="宋体" w:cs="宋体"/>
          <w:b w:val="0"/>
          <w:bCs w:val="0"/>
          <w:i w:val="0"/>
          <w:iCs w:val="0"/>
          <w:caps w:val="0"/>
          <w:spacing w:val="0"/>
          <w:sz w:val="24"/>
          <w:szCs w:val="24"/>
          <w:highlight w:val="none"/>
          <w:u w:val="none"/>
          <w:shd w:val="clear" w:color="auto" w:fill="FFFFFF"/>
          <w:lang w:val="en-US" w:eastAsia="zh-CN"/>
        </w:rPr>
        <w:t>元</w:t>
      </w:r>
      <w:r>
        <w:rPr>
          <w:rFonts w:hint="eastAsia" w:ascii="宋体" w:hAnsi="宋体" w:eastAsia="宋体" w:cs="宋体"/>
          <w:b w:val="0"/>
          <w:bCs w:val="0"/>
          <w:i w:val="0"/>
          <w:iCs w:val="0"/>
          <w:caps w:val="0"/>
          <w:spacing w:val="0"/>
          <w:sz w:val="24"/>
          <w:szCs w:val="24"/>
          <w:highlight w:val="none"/>
          <w:u w:val="none"/>
          <w:shd w:val="clear" w:color="auto" w:fill="FFFFFF"/>
        </w:rPr>
        <w:t>/</w:t>
      </w:r>
      <w:r>
        <w:rPr>
          <w:rFonts w:hint="eastAsia" w:ascii="宋体" w:hAnsi="宋体" w:eastAsia="宋体" w:cs="宋体"/>
          <w:b w:val="0"/>
          <w:bCs w:val="0"/>
          <w:i w:val="0"/>
          <w:iCs w:val="0"/>
          <w:caps w:val="0"/>
          <w:spacing w:val="0"/>
          <w:sz w:val="24"/>
          <w:szCs w:val="24"/>
          <w:highlight w:val="none"/>
          <w:shd w:val="clear" w:color="auto" w:fill="FFFFFF"/>
        </w:rPr>
        <w:t>人/小时</w:t>
      </w:r>
      <w:r>
        <w:rPr>
          <w:rFonts w:hint="eastAsia" w:ascii="宋体" w:hAnsi="宋体" w:cs="宋体"/>
          <w:b w:val="0"/>
          <w:bCs w:val="0"/>
          <w:i w:val="0"/>
          <w:iCs w:val="0"/>
          <w:caps w:val="0"/>
          <w:spacing w:val="0"/>
          <w:sz w:val="24"/>
          <w:szCs w:val="24"/>
          <w:highlight w:val="none"/>
          <w:shd w:val="clear" w:color="auto" w:fill="FFFFFF"/>
          <w:lang w:eastAsia="zh-CN"/>
        </w:rPr>
        <w:t>；</w:t>
      </w:r>
    </w:p>
    <w:p w14:paraId="676A1D03">
      <w:pPr>
        <w:pStyle w:val="2"/>
        <w:keepNext w:val="0"/>
        <w:keepLines w:val="0"/>
        <w:pageBreakBefore w:val="0"/>
        <w:widowControl w:val="0"/>
        <w:kinsoku/>
        <w:wordWrap/>
        <w:overflowPunct/>
        <w:topLinePunct w:val="0"/>
        <w:autoSpaceDE/>
        <w:autoSpaceDN/>
        <w:bidi w:val="0"/>
        <w:adjustRightInd/>
        <w:snapToGrid/>
        <w:spacing w:before="0" w:line="360" w:lineRule="auto"/>
        <w:ind w:left="859" w:leftChars="200" w:hanging="379" w:hangingChars="158"/>
        <w:textAlignment w:val="auto"/>
        <w:rPr>
          <w:rFonts w:hint="eastAsia" w:ascii="宋体" w:hAnsi="宋体" w:eastAsia="宋体" w:cs="宋体"/>
          <w:b w:val="0"/>
          <w:bCs w:val="0"/>
          <w:i w:val="0"/>
          <w:iCs w:val="0"/>
          <w:caps w:val="0"/>
          <w:spacing w:val="0"/>
          <w:sz w:val="24"/>
          <w:szCs w:val="24"/>
          <w:highlight w:val="none"/>
          <w:shd w:val="clear" w:color="auto" w:fill="FFFFFF"/>
          <w:lang w:eastAsia="zh-CN"/>
        </w:rPr>
      </w:pPr>
      <w:r>
        <w:rPr>
          <w:rFonts w:hint="eastAsia"/>
          <w:color w:val="auto"/>
          <w:szCs w:val="21"/>
          <w:highlight w:val="none"/>
        </w:rPr>
        <w:t>关爱扶助养老的老人</w:t>
      </w:r>
      <w:r>
        <w:rPr>
          <w:rFonts w:hint="eastAsia" w:ascii="宋体" w:hAnsi="宋体" w:eastAsia="宋体" w:cs="宋体"/>
          <w:b w:val="0"/>
          <w:bCs w:val="0"/>
          <w:i w:val="0"/>
          <w:iCs w:val="0"/>
          <w:caps w:val="0"/>
          <w:spacing w:val="0"/>
          <w:sz w:val="24"/>
          <w:szCs w:val="24"/>
          <w:highlight w:val="none"/>
          <w:shd w:val="clear" w:color="auto" w:fill="FFFFFF"/>
        </w:rPr>
        <w:t>服务单价</w:t>
      </w:r>
      <w:r>
        <w:rPr>
          <w:rFonts w:hint="eastAsia" w:ascii="宋体" w:hAnsi="宋体" w:cs="宋体"/>
          <w:b w:val="0"/>
          <w:bCs w:val="0"/>
          <w:i w:val="0"/>
          <w:iCs w:val="0"/>
          <w:caps w:val="0"/>
          <w:spacing w:val="0"/>
          <w:sz w:val="24"/>
          <w:szCs w:val="24"/>
          <w:highlight w:val="none"/>
          <w:shd w:val="clear" w:color="auto" w:fill="FFFFFF"/>
          <w:lang w:eastAsia="zh-CN"/>
        </w:rPr>
        <w:t>：</w:t>
      </w:r>
      <w:r>
        <w:rPr>
          <w:rFonts w:hint="eastAsia" w:ascii="宋体" w:hAnsi="宋体" w:cs="宋体"/>
          <w:b w:val="0"/>
          <w:bCs w:val="0"/>
          <w:i w:val="0"/>
          <w:iCs w:val="0"/>
          <w:caps w:val="0"/>
          <w:spacing w:val="0"/>
          <w:sz w:val="24"/>
          <w:szCs w:val="24"/>
          <w:highlight w:val="none"/>
          <w:u w:val="single"/>
          <w:shd w:val="clear" w:color="auto" w:fill="FFFFFF"/>
          <w:lang w:val="en-US" w:eastAsia="zh-CN"/>
        </w:rPr>
        <w:t xml:space="preserve">       </w:t>
      </w:r>
      <w:r>
        <w:rPr>
          <w:rFonts w:hint="eastAsia" w:ascii="宋体" w:hAnsi="宋体" w:cs="宋体"/>
          <w:b w:val="0"/>
          <w:bCs w:val="0"/>
          <w:i w:val="0"/>
          <w:iCs w:val="0"/>
          <w:caps w:val="0"/>
          <w:spacing w:val="0"/>
          <w:sz w:val="24"/>
          <w:szCs w:val="24"/>
          <w:highlight w:val="none"/>
          <w:u w:val="none"/>
          <w:shd w:val="clear" w:color="auto" w:fill="FFFFFF"/>
          <w:lang w:val="en-US" w:eastAsia="zh-CN"/>
        </w:rPr>
        <w:t>元</w:t>
      </w:r>
      <w:r>
        <w:rPr>
          <w:rFonts w:hint="eastAsia" w:ascii="宋体" w:hAnsi="宋体" w:eastAsia="宋体" w:cs="宋体"/>
          <w:b w:val="0"/>
          <w:bCs w:val="0"/>
          <w:i w:val="0"/>
          <w:iCs w:val="0"/>
          <w:caps w:val="0"/>
          <w:spacing w:val="0"/>
          <w:sz w:val="24"/>
          <w:szCs w:val="24"/>
          <w:highlight w:val="none"/>
          <w:u w:val="none"/>
          <w:shd w:val="clear" w:color="auto" w:fill="FFFFFF"/>
        </w:rPr>
        <w:t>/</w:t>
      </w:r>
      <w:r>
        <w:rPr>
          <w:rFonts w:hint="eastAsia" w:ascii="宋体" w:hAnsi="宋体" w:eastAsia="宋体" w:cs="宋体"/>
          <w:b w:val="0"/>
          <w:bCs w:val="0"/>
          <w:i w:val="0"/>
          <w:iCs w:val="0"/>
          <w:caps w:val="0"/>
          <w:spacing w:val="0"/>
          <w:sz w:val="24"/>
          <w:szCs w:val="24"/>
          <w:highlight w:val="none"/>
          <w:shd w:val="clear" w:color="auto" w:fill="FFFFFF"/>
        </w:rPr>
        <w:t>人/小时</w:t>
      </w:r>
      <w:r>
        <w:rPr>
          <w:rFonts w:hint="eastAsia" w:ascii="宋体" w:hAnsi="宋体" w:cs="宋体"/>
          <w:b w:val="0"/>
          <w:bCs w:val="0"/>
          <w:i w:val="0"/>
          <w:iCs w:val="0"/>
          <w:caps w:val="0"/>
          <w:spacing w:val="0"/>
          <w:sz w:val="24"/>
          <w:szCs w:val="24"/>
          <w:highlight w:val="none"/>
          <w:shd w:val="clear" w:color="auto" w:fill="FFFFFF"/>
          <w:lang w:eastAsia="zh-CN"/>
        </w:rPr>
        <w:t>；</w:t>
      </w:r>
    </w:p>
    <w:p w14:paraId="63E66C96">
      <w:pPr>
        <w:pStyle w:val="2"/>
        <w:keepNext w:val="0"/>
        <w:keepLines w:val="0"/>
        <w:pageBreakBefore w:val="0"/>
        <w:widowControl w:val="0"/>
        <w:kinsoku/>
        <w:wordWrap/>
        <w:overflowPunct/>
        <w:topLinePunct w:val="0"/>
        <w:autoSpaceDE/>
        <w:autoSpaceDN/>
        <w:bidi w:val="0"/>
        <w:adjustRightInd/>
        <w:snapToGrid/>
        <w:spacing w:before="0" w:line="360" w:lineRule="auto"/>
        <w:ind w:left="859" w:leftChars="200" w:hanging="379" w:hangingChars="158"/>
        <w:textAlignment w:val="auto"/>
        <w:rPr>
          <w:rFonts w:hint="eastAsia" w:ascii="宋体" w:hAnsi="宋体" w:eastAsia="宋体" w:cs="宋体"/>
          <w:b w:val="0"/>
          <w:bCs w:val="0"/>
          <w:i w:val="0"/>
          <w:iCs w:val="0"/>
          <w:caps w:val="0"/>
          <w:spacing w:val="0"/>
          <w:sz w:val="24"/>
          <w:szCs w:val="24"/>
          <w:highlight w:val="none"/>
          <w:shd w:val="clear" w:color="auto" w:fill="FFFFFF"/>
        </w:rPr>
      </w:pPr>
      <w:r>
        <w:rPr>
          <w:rFonts w:hint="eastAsia" w:ascii="宋体" w:hAnsi="宋体" w:eastAsia="宋体" w:cs="宋体"/>
          <w:b w:val="0"/>
          <w:bCs w:val="0"/>
          <w:i w:val="0"/>
          <w:iCs w:val="0"/>
          <w:caps w:val="0"/>
          <w:spacing w:val="0"/>
          <w:sz w:val="24"/>
          <w:szCs w:val="24"/>
          <w:highlight w:val="none"/>
          <w:shd w:val="clear" w:color="auto" w:fill="FFFFFF"/>
        </w:rPr>
        <w:t>服务总费用为人民币（大写）：</w:t>
      </w:r>
      <w:r>
        <w:rPr>
          <w:rFonts w:hint="eastAsia" w:ascii="宋体" w:hAnsi="宋体" w:eastAsia="宋体" w:cs="宋体"/>
          <w:b w:val="0"/>
          <w:bCs w:val="0"/>
          <w:i w:val="0"/>
          <w:iCs w:val="0"/>
          <w:caps w:val="0"/>
          <w:spacing w:val="0"/>
          <w:sz w:val="24"/>
          <w:szCs w:val="24"/>
          <w:highlight w:val="none"/>
          <w:u w:val="single"/>
          <w:shd w:val="clear" w:color="auto" w:fill="FFFFFF"/>
          <w:lang w:val="en-US" w:eastAsia="zh-CN"/>
        </w:rPr>
        <w:t xml:space="preserve">      </w:t>
      </w:r>
      <w:r>
        <w:rPr>
          <w:rFonts w:hint="eastAsia" w:ascii="宋体" w:hAnsi="宋体" w:eastAsia="宋体" w:cs="宋体"/>
          <w:b w:val="0"/>
          <w:bCs w:val="0"/>
          <w:i w:val="0"/>
          <w:iCs w:val="0"/>
          <w:caps w:val="0"/>
          <w:spacing w:val="0"/>
          <w:sz w:val="24"/>
          <w:szCs w:val="24"/>
          <w:highlight w:val="none"/>
          <w:shd w:val="clear" w:color="auto" w:fill="FFFFFF"/>
        </w:rPr>
        <w:t>元，￥</w:t>
      </w:r>
      <w:r>
        <w:rPr>
          <w:rFonts w:hint="eastAsia" w:ascii="宋体" w:hAnsi="宋体" w:eastAsia="宋体" w:cs="宋体"/>
          <w:b w:val="0"/>
          <w:bCs w:val="0"/>
          <w:i w:val="0"/>
          <w:iCs w:val="0"/>
          <w:caps w:val="0"/>
          <w:spacing w:val="0"/>
          <w:sz w:val="24"/>
          <w:szCs w:val="24"/>
          <w:highlight w:val="none"/>
          <w:u w:val="single"/>
          <w:shd w:val="clear" w:color="auto" w:fill="FFFFFF"/>
        </w:rPr>
        <w:t xml:space="preserve"> </w:t>
      </w:r>
      <w:r>
        <w:rPr>
          <w:rFonts w:hint="eastAsia" w:ascii="宋体" w:hAnsi="宋体" w:eastAsia="宋体" w:cs="宋体"/>
          <w:b w:val="0"/>
          <w:bCs w:val="0"/>
          <w:i w:val="0"/>
          <w:iCs w:val="0"/>
          <w:caps w:val="0"/>
          <w:spacing w:val="0"/>
          <w:sz w:val="24"/>
          <w:szCs w:val="24"/>
          <w:highlight w:val="none"/>
          <w:u w:val="single"/>
          <w:shd w:val="clear" w:color="auto" w:fill="FFFFFF"/>
          <w:lang w:val="en-US" w:eastAsia="zh-CN"/>
        </w:rPr>
        <w:t xml:space="preserve">     </w:t>
      </w:r>
      <w:r>
        <w:rPr>
          <w:rFonts w:hint="eastAsia" w:ascii="宋体" w:hAnsi="宋体" w:eastAsia="宋体" w:cs="宋体"/>
          <w:b w:val="0"/>
          <w:bCs w:val="0"/>
          <w:i w:val="0"/>
          <w:iCs w:val="0"/>
          <w:caps w:val="0"/>
          <w:spacing w:val="0"/>
          <w:sz w:val="24"/>
          <w:szCs w:val="24"/>
          <w:highlight w:val="none"/>
          <w:shd w:val="clear" w:color="auto" w:fill="FFFFFF"/>
        </w:rPr>
        <w:t>。</w:t>
      </w:r>
    </w:p>
    <w:p w14:paraId="074FBA34">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2</w:t>
      </w:r>
      <w:r>
        <w:rPr>
          <w:rFonts w:hint="eastAsia" w:ascii="宋体" w:hAnsi="宋体" w:eastAsia="宋体" w:cs="宋体"/>
          <w:bCs/>
          <w:color w:val="auto"/>
          <w:sz w:val="24"/>
          <w:szCs w:val="24"/>
          <w:highlight w:val="none"/>
        </w:rPr>
        <w:t>.</w:t>
      </w:r>
      <w:r>
        <w:rPr>
          <w:rFonts w:hint="eastAsia" w:ascii="宋体" w:hAnsi="宋体" w:eastAsia="宋体" w:cs="宋体"/>
          <w:color w:val="auto"/>
          <w:kern w:val="0"/>
          <w:sz w:val="24"/>
          <w:szCs w:val="24"/>
          <w:highlight w:val="none"/>
          <w:lang w:val="en-US" w:eastAsia="zh-CN"/>
        </w:rPr>
        <w:t>支付方式：</w:t>
      </w:r>
    </w:p>
    <w:p w14:paraId="4283D579">
      <w:pPr>
        <w:pStyle w:val="2"/>
        <w:keepNext w:val="0"/>
        <w:keepLines w:val="0"/>
        <w:pageBreakBefore w:val="0"/>
        <w:widowControl w:val="0"/>
        <w:numPr>
          <w:ilvl w:val="0"/>
          <w:numId w:val="0"/>
        </w:numPr>
        <w:kinsoku/>
        <w:wordWrap/>
        <w:overflowPunct/>
        <w:topLinePunct w:val="0"/>
        <w:autoSpaceDE/>
        <w:autoSpaceDN/>
        <w:bidi w:val="0"/>
        <w:adjustRightInd/>
        <w:snapToGrid/>
        <w:spacing w:before="0" w:line="360" w:lineRule="auto"/>
        <w:ind w:leftChars="200"/>
        <w:textAlignment w:val="auto"/>
        <w:rPr>
          <w:rFonts w:hint="eastAsia" w:ascii="宋体" w:hAnsi="宋体" w:eastAsia="宋体" w:cs="宋体"/>
          <w:b w:val="0"/>
          <w:bCs w:val="0"/>
          <w:kern w:val="0"/>
          <w:sz w:val="24"/>
          <w:szCs w:val="24"/>
          <w:highlight w:val="none"/>
          <w:lang w:val="en-US" w:eastAsia="zh-CN" w:bidi="ar-SA"/>
        </w:rPr>
      </w:pPr>
      <w:r>
        <w:rPr>
          <w:rFonts w:hint="eastAsia" w:ascii="宋体" w:hAnsi="宋体" w:eastAsia="宋体" w:cs="宋体"/>
          <w:b w:val="0"/>
          <w:bCs w:val="0"/>
          <w:kern w:val="0"/>
          <w:sz w:val="24"/>
          <w:szCs w:val="24"/>
          <w:highlight w:val="none"/>
          <w:lang w:val="en-US" w:eastAsia="zh-CN" w:bidi="ar-SA"/>
        </w:rPr>
        <w:t>按季度据实结算。成交供应商按照要求进行服务，由采购人进行考核，考核达标按照成交供应商每月实际服务人数、服务质量反馈情况及考核情况结算,累计支付金额不得超出预算。</w:t>
      </w:r>
    </w:p>
    <w:p w14:paraId="76508DC3">
      <w:pPr>
        <w:pStyle w:val="2"/>
        <w:keepNext w:val="0"/>
        <w:keepLines w:val="0"/>
        <w:pageBreakBefore w:val="0"/>
        <w:widowControl w:val="0"/>
        <w:numPr>
          <w:ilvl w:val="0"/>
          <w:numId w:val="0"/>
        </w:numPr>
        <w:kinsoku/>
        <w:wordWrap/>
        <w:overflowPunct/>
        <w:topLinePunct w:val="0"/>
        <w:autoSpaceDE/>
        <w:autoSpaceDN/>
        <w:bidi w:val="0"/>
        <w:adjustRightInd/>
        <w:snapToGrid/>
        <w:spacing w:before="0" w:line="360" w:lineRule="auto"/>
        <w:ind w:leftChars="200"/>
        <w:textAlignment w:val="auto"/>
        <w:rPr>
          <w:rFonts w:hint="eastAsia" w:ascii="宋体" w:hAnsi="宋体" w:eastAsia="宋体" w:cs="宋体"/>
          <w:b w:val="0"/>
          <w:bCs w:val="0"/>
          <w:kern w:val="0"/>
          <w:sz w:val="24"/>
          <w:szCs w:val="24"/>
          <w:highlight w:val="none"/>
          <w:lang w:val="en-US" w:eastAsia="zh-CN" w:bidi="ar-SA"/>
        </w:rPr>
      </w:pPr>
      <w:r>
        <w:rPr>
          <w:rFonts w:hint="eastAsia" w:ascii="宋体" w:hAnsi="宋体" w:cs="宋体"/>
          <w:b w:val="0"/>
          <w:bCs w:val="0"/>
          <w:kern w:val="0"/>
          <w:sz w:val="24"/>
          <w:szCs w:val="24"/>
          <w:highlight w:val="none"/>
          <w:lang w:val="en-US" w:eastAsia="zh-CN" w:bidi="ar-SA"/>
        </w:rPr>
        <w:t>3</w:t>
      </w:r>
      <w:r>
        <w:rPr>
          <w:rFonts w:hint="eastAsia" w:ascii="宋体" w:hAnsi="宋体" w:eastAsia="宋体" w:cs="宋体"/>
          <w:bCs/>
          <w:color w:val="auto"/>
          <w:sz w:val="24"/>
          <w:szCs w:val="24"/>
          <w:highlight w:val="none"/>
        </w:rPr>
        <w:t>.</w:t>
      </w:r>
      <w:r>
        <w:rPr>
          <w:rFonts w:hint="eastAsia" w:ascii="宋体" w:hAnsi="宋体" w:eastAsia="宋体" w:cs="宋体"/>
          <w:b w:val="0"/>
          <w:bCs w:val="0"/>
          <w:kern w:val="0"/>
          <w:sz w:val="24"/>
          <w:szCs w:val="24"/>
          <w:highlight w:val="none"/>
          <w:lang w:val="en-US" w:eastAsia="zh-CN" w:bidi="ar-SA"/>
        </w:rPr>
        <w:t>结算方式：银行转账</w:t>
      </w:r>
    </w:p>
    <w:p w14:paraId="21CC473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highlight w:val="none"/>
        </w:rPr>
      </w:pPr>
      <w:r>
        <w:rPr>
          <w:rFonts w:hint="eastAsia" w:hAnsi="宋体" w:cs="宋体"/>
          <w:kern w:val="0"/>
          <w:sz w:val="24"/>
          <w:szCs w:val="24"/>
          <w:highlight w:val="none"/>
          <w:lang w:val="en-US" w:eastAsia="zh-CN"/>
        </w:rPr>
        <w:t>4</w:t>
      </w:r>
      <w:r>
        <w:rPr>
          <w:rFonts w:hint="eastAsia" w:ascii="宋体" w:hAnsi="宋体" w:eastAsia="宋体" w:cs="宋体"/>
          <w:bCs/>
          <w:color w:val="auto"/>
          <w:sz w:val="24"/>
          <w:szCs w:val="24"/>
          <w:highlight w:val="none"/>
        </w:rPr>
        <w:t>.</w:t>
      </w:r>
      <w:r>
        <w:rPr>
          <w:rFonts w:hint="eastAsia" w:ascii="宋体" w:hAnsi="宋体" w:eastAsia="宋体" w:cs="宋体"/>
          <w:kern w:val="0"/>
          <w:sz w:val="24"/>
          <w:szCs w:val="24"/>
          <w:highlight w:val="none"/>
        </w:rPr>
        <w:t>乙方收款账户</w:t>
      </w:r>
    </w:p>
    <w:p w14:paraId="34AFEE6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账户名称：                 </w:t>
      </w:r>
    </w:p>
    <w:p w14:paraId="4B1E0B7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开户银行：                  </w:t>
      </w:r>
    </w:p>
    <w:p w14:paraId="2D34CF1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kern w:val="0"/>
          <w:sz w:val="24"/>
          <w:szCs w:val="24"/>
          <w:highlight w:val="none"/>
        </w:rPr>
        <w:t>银行账号：</w:t>
      </w:r>
      <w:r>
        <w:rPr>
          <w:rFonts w:hint="eastAsia" w:ascii="宋体" w:hAnsi="宋体" w:eastAsia="宋体" w:cs="宋体"/>
          <w:kern w:val="0"/>
          <w:sz w:val="24"/>
          <w:szCs w:val="24"/>
          <w:highlight w:val="none"/>
          <w:lang w:val="en-US" w:eastAsia="zh-CN"/>
        </w:rPr>
        <w:t xml:space="preserve">                  </w:t>
      </w:r>
    </w:p>
    <w:p w14:paraId="33C43B1B">
      <w:pPr>
        <w:keepNext w:val="0"/>
        <w:keepLines w:val="0"/>
        <w:pageBreakBefore w:val="0"/>
        <w:kinsoku/>
        <w:wordWrap/>
        <w:overflowPunct/>
        <w:topLinePunct w:val="0"/>
        <w:autoSpaceDE/>
        <w:autoSpaceDN/>
        <w:bidi w:val="0"/>
        <w:snapToGrid/>
        <w:spacing w:line="360" w:lineRule="auto"/>
        <w:ind w:firstLine="482" w:firstLineChars="200"/>
        <w:outlineLvl w:val="1"/>
        <w:rPr>
          <w:rFonts w:hint="eastAsia" w:ascii="宋体" w:hAnsi="宋体" w:eastAsia="宋体" w:cs="宋体"/>
          <w:b/>
          <w:color w:val="auto"/>
          <w:sz w:val="24"/>
          <w:szCs w:val="24"/>
          <w:highlight w:val="none"/>
        </w:rPr>
      </w:pPr>
      <w:bookmarkStart w:id="19" w:name="_Toc22959"/>
      <w:r>
        <w:rPr>
          <w:rFonts w:hint="eastAsia" w:ascii="宋体" w:hAnsi="宋体" w:eastAsia="宋体" w:cs="宋体"/>
          <w:b/>
          <w:color w:val="auto"/>
          <w:sz w:val="24"/>
          <w:szCs w:val="24"/>
          <w:highlight w:val="none"/>
        </w:rPr>
        <w:t>第五条  知识产权（若有）</w:t>
      </w:r>
      <w:bookmarkEnd w:id="19"/>
    </w:p>
    <w:p w14:paraId="2027956E">
      <w:pPr>
        <w:keepNext w:val="0"/>
        <w:keepLines w:val="0"/>
        <w:pageBreakBefore w:val="0"/>
        <w:tabs>
          <w:tab w:val="left" w:pos="1440"/>
        </w:tabs>
        <w:kinsoku/>
        <w:wordWrap/>
        <w:overflowPunct/>
        <w:topLinePunct w:val="0"/>
        <w:autoSpaceDE/>
        <w:autoSpaceDN/>
        <w:bidi w:val="0"/>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乙方应保证所提供的服务或其任何一部分均不会侵犯任何第三方的专利权、商标权或著作权。</w:t>
      </w:r>
    </w:p>
    <w:p w14:paraId="6C34EECB">
      <w:pPr>
        <w:keepNext w:val="0"/>
        <w:keepLines w:val="0"/>
        <w:pageBreakBefore w:val="0"/>
        <w:kinsoku/>
        <w:wordWrap/>
        <w:overflowPunct/>
        <w:topLinePunct w:val="0"/>
        <w:autoSpaceDE/>
        <w:autoSpaceDN/>
        <w:bidi w:val="0"/>
        <w:snapToGrid/>
        <w:spacing w:line="360" w:lineRule="auto"/>
        <w:ind w:firstLine="482" w:firstLineChars="200"/>
        <w:outlineLvl w:val="1"/>
        <w:rPr>
          <w:rFonts w:hint="eastAsia" w:ascii="宋体" w:hAnsi="宋体" w:eastAsia="宋体" w:cs="宋体"/>
          <w:b/>
          <w:color w:val="auto"/>
          <w:sz w:val="24"/>
          <w:szCs w:val="24"/>
          <w:highlight w:val="none"/>
        </w:rPr>
      </w:pPr>
      <w:bookmarkStart w:id="20" w:name="_Toc31647"/>
      <w:r>
        <w:rPr>
          <w:rFonts w:hint="eastAsia" w:ascii="宋体" w:hAnsi="宋体" w:eastAsia="宋体" w:cs="宋体"/>
          <w:b/>
          <w:color w:val="auto"/>
          <w:sz w:val="24"/>
          <w:szCs w:val="24"/>
          <w:highlight w:val="none"/>
        </w:rPr>
        <w:t>第六条  无产权瑕疵条款（如有）</w:t>
      </w:r>
      <w:bookmarkEnd w:id="20"/>
    </w:p>
    <w:p w14:paraId="25ABA474">
      <w:pPr>
        <w:keepNext w:val="0"/>
        <w:keepLines w:val="0"/>
        <w:pageBreakBefore w:val="0"/>
        <w:tabs>
          <w:tab w:val="left" w:pos="1440"/>
        </w:tabs>
        <w:kinsoku/>
        <w:wordWrap/>
        <w:overflowPunct/>
        <w:topLinePunct w:val="0"/>
        <w:autoSpaceDE/>
        <w:autoSpaceDN/>
        <w:bidi w:val="0"/>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乙方保证所提供的服务的所有权完全属于乙方且无任何抵押、查封等产权瑕疵。如有产权瑕疵的，视为乙方违约。乙方应负担由此而产生的一切损失。</w:t>
      </w:r>
    </w:p>
    <w:p w14:paraId="52864232">
      <w:pPr>
        <w:keepNext w:val="0"/>
        <w:keepLines w:val="0"/>
        <w:pageBreakBefore w:val="0"/>
        <w:kinsoku/>
        <w:wordWrap/>
        <w:overflowPunct/>
        <w:topLinePunct w:val="0"/>
        <w:autoSpaceDE/>
        <w:autoSpaceDN/>
        <w:bidi w:val="0"/>
        <w:spacing w:line="360" w:lineRule="auto"/>
        <w:ind w:left="426"/>
        <w:rPr>
          <w:rFonts w:hint="eastAsia" w:hAnsi="宋体"/>
          <w:b/>
          <w:color w:val="000000"/>
          <w:highlight w:val="none"/>
        </w:rPr>
      </w:pPr>
      <w:r>
        <w:rPr>
          <w:rFonts w:hint="eastAsia" w:hAnsi="宋体"/>
          <w:b/>
          <w:color w:val="000000"/>
          <w:highlight w:val="none"/>
        </w:rPr>
        <w:t>第七条   履约保证金</w:t>
      </w:r>
    </w:p>
    <w:p w14:paraId="09E59831">
      <w:pPr>
        <w:keepNext w:val="0"/>
        <w:keepLines w:val="0"/>
        <w:pageBreakBefore w:val="0"/>
        <w:kinsoku/>
        <w:wordWrap/>
        <w:overflowPunct/>
        <w:topLinePunct w:val="0"/>
        <w:autoSpaceDE/>
        <w:autoSpaceDN/>
        <w:bidi w:val="0"/>
        <w:spacing w:line="360" w:lineRule="auto"/>
        <w:ind w:left="426"/>
        <w:rPr>
          <w:rFonts w:hint="eastAsia" w:hAnsi="宋体"/>
          <w:color w:val="000000"/>
          <w:highlight w:val="none"/>
        </w:rPr>
      </w:pPr>
      <w:r>
        <w:rPr>
          <w:rFonts w:hint="eastAsia" w:hAnsi="宋体"/>
          <w:color w:val="000000"/>
          <w:highlight w:val="none"/>
        </w:rPr>
        <w:t>不需要提供履约保证金。</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5FF33D5B">
      <w:pPr>
        <w:keepNext w:val="0"/>
        <w:keepLines w:val="0"/>
        <w:pageBreakBefore w:val="0"/>
        <w:kinsoku/>
        <w:wordWrap/>
        <w:overflowPunct/>
        <w:topLinePunct w:val="0"/>
        <w:autoSpaceDE/>
        <w:autoSpaceDN/>
        <w:bidi w:val="0"/>
        <w:snapToGrid/>
        <w:spacing w:line="360" w:lineRule="auto"/>
        <w:ind w:left="426"/>
        <w:outlineLvl w:val="1"/>
        <w:rPr>
          <w:rFonts w:hint="eastAsia" w:ascii="宋体" w:hAnsi="宋体" w:eastAsia="宋体" w:cs="宋体"/>
          <w:b/>
          <w:color w:val="auto"/>
          <w:sz w:val="24"/>
          <w:szCs w:val="24"/>
          <w:highlight w:val="none"/>
        </w:rPr>
      </w:pPr>
      <w:bookmarkStart w:id="21" w:name="_Toc16162"/>
      <w:r>
        <w:rPr>
          <w:rFonts w:hint="eastAsia" w:ascii="宋体" w:hAnsi="宋体" w:eastAsia="宋体" w:cs="宋体"/>
          <w:b/>
          <w:color w:val="auto"/>
          <w:sz w:val="24"/>
          <w:szCs w:val="24"/>
          <w:highlight w:val="none"/>
        </w:rPr>
        <w:t>第八条  甲方的权利和义务</w:t>
      </w:r>
      <w:bookmarkEnd w:id="21"/>
    </w:p>
    <w:p w14:paraId="47861C3A">
      <w:pPr>
        <w:keepNext w:val="0"/>
        <w:keepLines w:val="0"/>
        <w:pageBreakBefore w:val="0"/>
        <w:kinsoku/>
        <w:wordWrap/>
        <w:overflowPunct/>
        <w:topLinePunct w:val="0"/>
        <w:autoSpaceDE/>
        <w:autoSpaceDN/>
        <w:bidi w:val="0"/>
        <w:adjustRightInd w:val="0"/>
        <w:snapToGrid/>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29DD2D58">
      <w:pPr>
        <w:keepNext w:val="0"/>
        <w:keepLines w:val="0"/>
        <w:pageBreakBefore w:val="0"/>
        <w:kinsoku/>
        <w:wordWrap/>
        <w:overflowPunct/>
        <w:topLinePunct w:val="0"/>
        <w:autoSpaceDE/>
        <w:autoSpaceDN/>
        <w:bidi w:val="0"/>
        <w:adjustRightInd w:val="0"/>
        <w:snapToGrid/>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2.负责检查监督乙方管理工作的实施及制度的执行情况。</w:t>
      </w:r>
    </w:p>
    <w:p w14:paraId="1EA2E6B0">
      <w:pPr>
        <w:keepNext w:val="0"/>
        <w:keepLines w:val="0"/>
        <w:pageBreakBefore w:val="0"/>
        <w:kinsoku/>
        <w:wordWrap/>
        <w:overflowPunct/>
        <w:topLinePunct w:val="0"/>
        <w:autoSpaceDE/>
        <w:autoSpaceDN/>
        <w:bidi w:val="0"/>
        <w:adjustRightInd w:val="0"/>
        <w:snapToGrid/>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3.根据本合同规定，按时向乙方支付应付服务费用。</w:t>
      </w:r>
    </w:p>
    <w:p w14:paraId="29CDC53C">
      <w:pPr>
        <w:keepNext w:val="0"/>
        <w:keepLines w:val="0"/>
        <w:pageBreakBefore w:val="0"/>
        <w:kinsoku/>
        <w:wordWrap/>
        <w:overflowPunct/>
        <w:topLinePunct w:val="0"/>
        <w:autoSpaceDE/>
        <w:autoSpaceDN/>
        <w:bidi w:val="0"/>
        <w:adjustRightInd w:val="0"/>
        <w:snapToGrid/>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4.国家法律、法规所规定由甲方承担的其它责任。</w:t>
      </w:r>
    </w:p>
    <w:p w14:paraId="13DD6CDA">
      <w:pPr>
        <w:keepNext w:val="0"/>
        <w:keepLines w:val="0"/>
        <w:pageBreakBefore w:val="0"/>
        <w:kinsoku/>
        <w:wordWrap/>
        <w:overflowPunct/>
        <w:topLinePunct w:val="0"/>
        <w:autoSpaceDE/>
        <w:autoSpaceDN/>
        <w:bidi w:val="0"/>
        <w:snapToGrid/>
        <w:spacing w:line="360" w:lineRule="auto"/>
        <w:ind w:left="426"/>
        <w:outlineLvl w:val="1"/>
        <w:rPr>
          <w:rFonts w:hint="eastAsia" w:ascii="宋体" w:hAnsi="宋体" w:eastAsia="宋体" w:cs="宋体"/>
          <w:b/>
          <w:color w:val="auto"/>
          <w:sz w:val="24"/>
          <w:szCs w:val="24"/>
          <w:highlight w:val="none"/>
        </w:rPr>
      </w:pPr>
      <w:bookmarkStart w:id="22" w:name="_Toc27740"/>
      <w:r>
        <w:rPr>
          <w:rFonts w:hint="eastAsia" w:ascii="宋体" w:hAnsi="宋体" w:eastAsia="宋体" w:cs="宋体"/>
          <w:b/>
          <w:color w:val="auto"/>
          <w:sz w:val="24"/>
          <w:szCs w:val="24"/>
          <w:highlight w:val="none"/>
        </w:rPr>
        <w:t>第九条  乙方的权利和义务</w:t>
      </w:r>
      <w:bookmarkEnd w:id="22"/>
    </w:p>
    <w:p w14:paraId="324921E0">
      <w:pPr>
        <w:keepNext w:val="0"/>
        <w:keepLines w:val="0"/>
        <w:pageBreakBefore w:val="0"/>
        <w:kinsoku/>
        <w:wordWrap/>
        <w:overflowPunct/>
        <w:topLinePunct w:val="0"/>
        <w:autoSpaceDE/>
        <w:autoSpaceDN/>
        <w:bidi w:val="0"/>
        <w:adjustRightInd w:val="0"/>
        <w:snapToGrid/>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1.对本合同规定的委托服务范围内的项目享有管理权及服务义务。</w:t>
      </w:r>
    </w:p>
    <w:p w14:paraId="01837786">
      <w:pPr>
        <w:keepNext w:val="0"/>
        <w:keepLines w:val="0"/>
        <w:pageBreakBefore w:val="0"/>
        <w:kinsoku/>
        <w:wordWrap/>
        <w:overflowPunct/>
        <w:topLinePunct w:val="0"/>
        <w:autoSpaceDE/>
        <w:autoSpaceDN/>
        <w:bidi w:val="0"/>
        <w:adjustRightInd w:val="0"/>
        <w:snapToGrid/>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2.根据本合同的规定向甲方收取相关服务费用，并有权在本项目管理范围内管理及合理使用。</w:t>
      </w:r>
    </w:p>
    <w:p w14:paraId="5AFC6935">
      <w:pPr>
        <w:keepNext w:val="0"/>
        <w:keepLines w:val="0"/>
        <w:pageBreakBefore w:val="0"/>
        <w:kinsoku/>
        <w:wordWrap/>
        <w:overflowPunct/>
        <w:topLinePunct w:val="0"/>
        <w:autoSpaceDE/>
        <w:autoSpaceDN/>
        <w:bidi w:val="0"/>
        <w:adjustRightInd w:val="0"/>
        <w:snapToGrid/>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3.及时向甲方通告本项目服务范围内有关服务的重大事项，及时配合处理投诉。</w:t>
      </w:r>
    </w:p>
    <w:p w14:paraId="4C5880F4">
      <w:pPr>
        <w:keepNext w:val="0"/>
        <w:keepLines w:val="0"/>
        <w:pageBreakBefore w:val="0"/>
        <w:kinsoku/>
        <w:wordWrap/>
        <w:overflowPunct/>
        <w:topLinePunct w:val="0"/>
        <w:autoSpaceDE/>
        <w:autoSpaceDN/>
        <w:bidi w:val="0"/>
        <w:adjustRightInd w:val="0"/>
        <w:snapToGrid/>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bCs/>
          <w:color w:val="auto"/>
          <w:sz w:val="24"/>
          <w:szCs w:val="24"/>
          <w:highlight w:val="none"/>
        </w:rPr>
        <w:t>接受项目行业管理部门及政府有关部门的指导，接受甲方的监督。</w:t>
      </w:r>
    </w:p>
    <w:p w14:paraId="10175B93">
      <w:pPr>
        <w:keepNext w:val="0"/>
        <w:keepLines w:val="0"/>
        <w:pageBreakBefore w:val="0"/>
        <w:kinsoku/>
        <w:wordWrap/>
        <w:overflowPunct/>
        <w:topLinePunct w:val="0"/>
        <w:autoSpaceDE/>
        <w:autoSpaceDN/>
        <w:bidi w:val="0"/>
        <w:adjustRightInd w:val="0"/>
        <w:snapToGrid/>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5.国家法律、法规所规定由乙方承担的其它责任。</w:t>
      </w:r>
    </w:p>
    <w:p w14:paraId="3CD13FB8">
      <w:pPr>
        <w:keepNext w:val="0"/>
        <w:keepLines w:val="0"/>
        <w:pageBreakBefore w:val="0"/>
        <w:kinsoku/>
        <w:wordWrap/>
        <w:overflowPunct/>
        <w:topLinePunct w:val="0"/>
        <w:autoSpaceDE/>
        <w:autoSpaceDN/>
        <w:bidi w:val="0"/>
        <w:snapToGrid/>
        <w:spacing w:line="360" w:lineRule="auto"/>
        <w:ind w:left="426"/>
        <w:outlineLvl w:val="1"/>
        <w:rPr>
          <w:rFonts w:hint="eastAsia" w:ascii="宋体" w:hAnsi="宋体" w:eastAsia="宋体" w:cs="宋体"/>
          <w:b/>
          <w:color w:val="auto"/>
          <w:sz w:val="24"/>
          <w:szCs w:val="24"/>
          <w:highlight w:val="none"/>
        </w:rPr>
      </w:pPr>
      <w:bookmarkStart w:id="23" w:name="_Toc25988"/>
      <w:r>
        <w:rPr>
          <w:rFonts w:hint="eastAsia" w:ascii="宋体" w:hAnsi="宋体" w:eastAsia="宋体" w:cs="宋体"/>
          <w:b/>
          <w:color w:val="auto"/>
          <w:sz w:val="24"/>
          <w:szCs w:val="24"/>
          <w:highlight w:val="none"/>
        </w:rPr>
        <w:t>第十条  违约责任</w:t>
      </w:r>
      <w:bookmarkEnd w:id="23"/>
    </w:p>
    <w:p w14:paraId="592D9418">
      <w:pPr>
        <w:keepNext w:val="0"/>
        <w:keepLines w:val="0"/>
        <w:pageBreakBefore w:val="0"/>
        <w:kinsoku/>
        <w:wordWrap/>
        <w:overflowPunct/>
        <w:topLinePunct w:val="0"/>
        <w:autoSpaceDE/>
        <w:autoSpaceDN/>
        <w:bidi w:val="0"/>
        <w:adjustRightInd w:val="0"/>
        <w:snapToGrid/>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1.甲乙双方必须遵守本合同并执行合同中的各项规定，保证本合同的正常履行。</w:t>
      </w:r>
    </w:p>
    <w:p w14:paraId="00753A99">
      <w:pPr>
        <w:keepNext w:val="0"/>
        <w:keepLines w:val="0"/>
        <w:pageBreakBefore w:val="0"/>
        <w:kinsoku/>
        <w:wordWrap/>
        <w:overflowPunct/>
        <w:topLinePunct w:val="0"/>
        <w:autoSpaceDE/>
        <w:autoSpaceDN/>
        <w:bidi w:val="0"/>
        <w:adjustRightInd w:val="0"/>
        <w:snapToGrid/>
        <w:spacing w:line="360" w:lineRule="auto"/>
        <w:ind w:firstLine="480" w:firstLineChars="200"/>
        <w:jc w:val="left"/>
        <w:textAlignment w:val="baseline"/>
        <w:rPr>
          <w:rFonts w:hint="eastAsia" w:ascii="宋体" w:hAnsi="宋体" w:eastAsia="宋体" w:cs="宋体"/>
          <w:bCs/>
          <w:sz w:val="24"/>
          <w:szCs w:val="24"/>
          <w:highlight w:val="none"/>
        </w:rPr>
      </w:pPr>
      <w:r>
        <w:rPr>
          <w:rFonts w:hint="eastAsia" w:ascii="宋体" w:hAnsi="宋体" w:eastAsia="宋体" w:cs="宋体"/>
          <w:bCs/>
          <w:sz w:val="24"/>
          <w:szCs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76E6497">
      <w:pPr>
        <w:keepNext w:val="0"/>
        <w:keepLines w:val="0"/>
        <w:pageBreakBefore w:val="0"/>
        <w:kinsoku/>
        <w:wordWrap/>
        <w:overflowPunct/>
        <w:topLinePunct w:val="0"/>
        <w:autoSpaceDE/>
        <w:autoSpaceDN/>
        <w:bidi w:val="0"/>
        <w:snapToGrid/>
        <w:spacing w:line="360" w:lineRule="auto"/>
        <w:ind w:left="426"/>
        <w:outlineLvl w:val="1"/>
        <w:rPr>
          <w:rFonts w:hint="eastAsia" w:ascii="宋体" w:hAnsi="宋体" w:eastAsia="宋体" w:cs="宋体"/>
          <w:b/>
          <w:sz w:val="24"/>
          <w:szCs w:val="24"/>
          <w:highlight w:val="none"/>
        </w:rPr>
      </w:pPr>
      <w:bookmarkStart w:id="24" w:name="_Toc26448"/>
      <w:bookmarkStart w:id="25" w:name="_Toc286993792"/>
      <w:bookmarkStart w:id="26" w:name="_Toc238984980"/>
      <w:bookmarkStart w:id="27" w:name="_Toc185395254"/>
      <w:bookmarkStart w:id="28" w:name="_Toc232492933"/>
      <w:bookmarkStart w:id="29" w:name="_Toc225670756"/>
      <w:bookmarkStart w:id="30" w:name="_Toc247334846"/>
      <w:bookmarkStart w:id="31" w:name="_Toc251768867"/>
      <w:bookmarkStart w:id="32" w:name="_Toc239233919"/>
      <w:bookmarkStart w:id="33" w:name="_Toc241833908"/>
      <w:bookmarkStart w:id="34" w:name="_Toc225244857"/>
      <w:bookmarkStart w:id="35" w:name="_Toc239568423"/>
      <w:bookmarkStart w:id="36" w:name="_Toc211911353"/>
      <w:bookmarkStart w:id="37" w:name="_Toc212019599"/>
      <w:bookmarkStart w:id="38" w:name="_Toc211854454"/>
      <w:bookmarkStart w:id="39" w:name="_Toc237145411"/>
      <w:bookmarkStart w:id="40" w:name="_Toc225654649"/>
      <w:r>
        <w:rPr>
          <w:rFonts w:hint="eastAsia" w:ascii="宋体" w:hAnsi="宋体" w:eastAsia="宋体" w:cs="宋体"/>
          <w:b/>
          <w:sz w:val="24"/>
          <w:szCs w:val="24"/>
          <w:highlight w:val="none"/>
        </w:rPr>
        <w:t>第十一条  不可抗力事件处理</w:t>
      </w:r>
      <w:bookmarkEnd w:id="24"/>
    </w:p>
    <w:p w14:paraId="23CADF6C">
      <w:pPr>
        <w:keepNext w:val="0"/>
        <w:keepLines w:val="0"/>
        <w:pageBreakBefore w:val="0"/>
        <w:tabs>
          <w:tab w:val="left" w:pos="0"/>
        </w:tabs>
        <w:kinsoku/>
        <w:wordWrap/>
        <w:overflowPunct/>
        <w:topLinePunct w:val="0"/>
        <w:autoSpaceDE/>
        <w:autoSpaceDN/>
        <w:bidi w:val="0"/>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1.在合同有效期内，任何一方因不可抗力事件导致不能履行合同，则合同履行期可延长，其延长期与不可抗力影响期相同。</w:t>
      </w:r>
    </w:p>
    <w:p w14:paraId="4CEC8B90">
      <w:pPr>
        <w:keepNext w:val="0"/>
        <w:keepLines w:val="0"/>
        <w:pageBreakBefore w:val="0"/>
        <w:tabs>
          <w:tab w:val="left" w:pos="0"/>
        </w:tabs>
        <w:kinsoku/>
        <w:wordWrap/>
        <w:overflowPunct/>
        <w:topLinePunct w:val="0"/>
        <w:autoSpaceDE/>
        <w:autoSpaceDN/>
        <w:bidi w:val="0"/>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2.不可抗力事件发生后，应立即通知对方，并寄送有关权威机构出具的证明。</w:t>
      </w:r>
    </w:p>
    <w:p w14:paraId="67C7BC2D">
      <w:pPr>
        <w:keepNext w:val="0"/>
        <w:keepLines w:val="0"/>
        <w:pageBreakBefore w:val="0"/>
        <w:tabs>
          <w:tab w:val="left" w:pos="0"/>
        </w:tabs>
        <w:kinsoku/>
        <w:wordWrap/>
        <w:overflowPunct/>
        <w:topLinePunct w:val="0"/>
        <w:autoSpaceDE/>
        <w:autoSpaceDN/>
        <w:bidi w:val="0"/>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3.不可抗力事件延续</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天以上，双方应通过友好协商，确定是否继续履行合同。</w:t>
      </w:r>
    </w:p>
    <w:p w14:paraId="150CD1EA">
      <w:pPr>
        <w:keepNext w:val="0"/>
        <w:keepLines w:val="0"/>
        <w:pageBreakBefore w:val="0"/>
        <w:widowControl/>
        <w:kinsoku/>
        <w:wordWrap/>
        <w:overflowPunct/>
        <w:topLinePunct w:val="0"/>
        <w:autoSpaceDE/>
        <w:autoSpaceDN/>
        <w:bidi w:val="0"/>
        <w:snapToGrid/>
        <w:spacing w:line="360" w:lineRule="auto"/>
        <w:ind w:firstLine="482" w:firstLineChars="200"/>
        <w:jc w:val="left"/>
        <w:outlineLvl w:val="1"/>
        <w:rPr>
          <w:rFonts w:hint="eastAsia" w:ascii="宋体" w:hAnsi="宋体" w:eastAsia="宋体" w:cs="宋体"/>
          <w:kern w:val="0"/>
          <w:sz w:val="24"/>
          <w:szCs w:val="24"/>
          <w:highlight w:val="none"/>
        </w:rPr>
      </w:pPr>
      <w:bookmarkStart w:id="41" w:name="_Toc20448"/>
      <w:r>
        <w:rPr>
          <w:rFonts w:hint="eastAsia" w:ascii="宋体" w:hAnsi="宋体" w:eastAsia="宋体" w:cs="宋体"/>
          <w:b/>
          <w:sz w:val="24"/>
          <w:szCs w:val="24"/>
          <w:highlight w:val="none"/>
        </w:rPr>
        <w:t xml:space="preserve">第十二条  </w:t>
      </w:r>
      <w:r>
        <w:rPr>
          <w:rFonts w:hint="eastAsia" w:ascii="宋体" w:hAnsi="宋体" w:eastAsia="宋体" w:cs="宋体"/>
          <w:b/>
          <w:kern w:val="0"/>
          <w:sz w:val="24"/>
          <w:szCs w:val="24"/>
          <w:highlight w:val="none"/>
        </w:rPr>
        <w:t>合同的变更和终止</w:t>
      </w:r>
      <w:bookmarkEnd w:id="41"/>
    </w:p>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14:paraId="71D77086">
      <w:pPr>
        <w:keepNext w:val="0"/>
        <w:keepLines w:val="0"/>
        <w:pageBreakBefore w:val="0"/>
        <w:widowControl/>
        <w:kinsoku/>
        <w:wordWrap/>
        <w:overflowPunct/>
        <w:topLinePunct w:val="0"/>
        <w:autoSpaceDE/>
        <w:autoSpaceDN/>
        <w:bidi w:val="0"/>
        <w:snapToGrid/>
        <w:spacing w:line="360" w:lineRule="auto"/>
        <w:ind w:firstLine="480" w:firstLineChars="200"/>
        <w:jc w:val="left"/>
        <w:rPr>
          <w:rFonts w:hint="eastAsia" w:ascii="宋体" w:hAnsi="宋体" w:eastAsia="宋体" w:cs="宋体"/>
          <w:kern w:val="0"/>
          <w:sz w:val="24"/>
          <w:szCs w:val="24"/>
          <w:highlight w:val="none"/>
        </w:rPr>
      </w:pPr>
      <w:bookmarkStart w:id="42" w:name="_Toc247334847"/>
      <w:bookmarkStart w:id="43" w:name="_Toc251768868"/>
      <w:bookmarkStart w:id="44" w:name="_Toc212019600"/>
      <w:bookmarkStart w:id="45" w:name="_Toc225654650"/>
      <w:bookmarkStart w:id="46" w:name="_Toc238984981"/>
      <w:bookmarkStart w:id="47" w:name="_Toc232492934"/>
      <w:bookmarkStart w:id="48" w:name="_Toc283019219"/>
      <w:bookmarkStart w:id="49" w:name="_Toc225670757"/>
      <w:bookmarkStart w:id="50" w:name="_Toc241833909"/>
      <w:bookmarkStart w:id="51" w:name="_Toc225244858"/>
      <w:bookmarkStart w:id="52" w:name="_Toc286993793"/>
      <w:bookmarkStart w:id="53" w:name="_Toc211911354"/>
      <w:bookmarkStart w:id="54" w:name="_Toc282696231"/>
      <w:bookmarkStart w:id="55" w:name="_Toc239568424"/>
      <w:bookmarkStart w:id="56" w:name="_Toc237145412"/>
      <w:bookmarkStart w:id="57" w:name="_Toc185395255"/>
      <w:bookmarkStart w:id="58" w:name="_Toc211854455"/>
      <w:bookmarkStart w:id="59" w:name="_Toc239233920"/>
      <w:r>
        <w:rPr>
          <w:rFonts w:hint="eastAsia" w:hAnsi="宋体" w:cs="宋体"/>
          <w:kern w:val="0"/>
          <w:sz w:val="24"/>
          <w:szCs w:val="24"/>
          <w:highlight w:val="none"/>
          <w:lang w:val="en-US" w:eastAsia="zh-CN"/>
        </w:rPr>
        <w:t>1.</w:t>
      </w:r>
      <w:r>
        <w:rPr>
          <w:rFonts w:hint="eastAsia" w:ascii="宋体" w:hAnsi="宋体" w:eastAsia="宋体" w:cs="宋体"/>
          <w:kern w:val="0"/>
          <w:sz w:val="24"/>
          <w:szCs w:val="24"/>
          <w:highlight w:val="none"/>
        </w:rPr>
        <w:t>出现下列情形之一的，甲方有权单方解除本合同，并要求乙方承担相应的违约责任：</w:t>
      </w:r>
    </w:p>
    <w:p w14:paraId="4FD7EABA">
      <w:pPr>
        <w:keepNext w:val="0"/>
        <w:keepLines w:val="0"/>
        <w:pageBreakBefore w:val="0"/>
        <w:widowControl/>
        <w:kinsoku/>
        <w:wordWrap/>
        <w:overflowPunct/>
        <w:topLinePunct w:val="0"/>
        <w:autoSpaceDE/>
        <w:autoSpaceDN/>
        <w:bidi w:val="0"/>
        <w:snapToGrid/>
        <w:spacing w:line="360" w:lineRule="auto"/>
        <w:ind w:firstLine="480" w:firstLineChars="200"/>
        <w:jc w:val="left"/>
        <w:rPr>
          <w:rFonts w:hint="eastAsia" w:ascii="宋体" w:hAnsi="宋体" w:eastAsia="宋体" w:cs="宋体"/>
          <w:kern w:val="0"/>
          <w:sz w:val="24"/>
          <w:szCs w:val="24"/>
          <w:highlight w:val="none"/>
        </w:rPr>
      </w:pPr>
      <w:r>
        <w:rPr>
          <w:rFonts w:hint="eastAsia" w:hAnsi="宋体" w:cs="宋体"/>
          <w:kern w:val="0"/>
          <w:sz w:val="24"/>
          <w:szCs w:val="24"/>
          <w:highlight w:val="none"/>
          <w:lang w:eastAsia="zh-CN"/>
        </w:rPr>
        <w:t>（</w:t>
      </w:r>
      <w:r>
        <w:rPr>
          <w:rFonts w:hint="eastAsia" w:hAnsi="宋体" w:cs="宋体"/>
          <w:kern w:val="0"/>
          <w:sz w:val="24"/>
          <w:szCs w:val="24"/>
          <w:highlight w:val="none"/>
          <w:lang w:val="en-US" w:eastAsia="zh-CN"/>
        </w:rPr>
        <w:t>1</w:t>
      </w:r>
      <w:r>
        <w:rPr>
          <w:rFonts w:hint="eastAsia" w:hAnsi="宋体" w:cs="宋体"/>
          <w:kern w:val="0"/>
          <w:sz w:val="24"/>
          <w:szCs w:val="24"/>
          <w:highlight w:val="none"/>
          <w:lang w:eastAsia="zh-CN"/>
        </w:rPr>
        <w:t>）</w:t>
      </w:r>
      <w:r>
        <w:rPr>
          <w:rFonts w:hint="eastAsia" w:ascii="宋体" w:hAnsi="宋体" w:eastAsia="宋体" w:cs="宋体"/>
          <w:kern w:val="0"/>
          <w:sz w:val="24"/>
          <w:szCs w:val="24"/>
          <w:highlight w:val="none"/>
        </w:rPr>
        <w:t>服务质量重大失误：乙方提供的服务不符合合同附件约定的服务质量标准，出现重大责任事故 （如服务过程中导致老人摔伤、走失、食用不适食品导致健康受损等），经认定乙方应承担主要或全部责任的。</w:t>
      </w:r>
    </w:p>
    <w:p w14:paraId="74091BD6">
      <w:pPr>
        <w:keepNext w:val="0"/>
        <w:keepLines w:val="0"/>
        <w:pageBreakBefore w:val="0"/>
        <w:widowControl/>
        <w:kinsoku/>
        <w:wordWrap/>
        <w:overflowPunct/>
        <w:topLinePunct w:val="0"/>
        <w:autoSpaceDE/>
        <w:autoSpaceDN/>
        <w:bidi w:val="0"/>
        <w:snapToGrid/>
        <w:spacing w:line="360" w:lineRule="auto"/>
        <w:ind w:firstLine="480" w:firstLineChars="200"/>
        <w:jc w:val="left"/>
        <w:rPr>
          <w:rFonts w:hint="eastAsia" w:ascii="宋体" w:hAnsi="宋体" w:eastAsia="宋体" w:cs="宋体"/>
          <w:kern w:val="0"/>
          <w:sz w:val="24"/>
          <w:szCs w:val="24"/>
          <w:highlight w:val="none"/>
        </w:rPr>
      </w:pPr>
      <w:r>
        <w:rPr>
          <w:rFonts w:hint="eastAsia" w:hAnsi="宋体" w:cs="宋体"/>
          <w:kern w:val="0"/>
          <w:sz w:val="24"/>
          <w:szCs w:val="24"/>
          <w:highlight w:val="none"/>
          <w:lang w:eastAsia="zh-CN"/>
        </w:rPr>
        <w:t>（</w:t>
      </w:r>
      <w:r>
        <w:rPr>
          <w:rFonts w:hint="eastAsia" w:hAnsi="宋体" w:cs="宋体"/>
          <w:kern w:val="0"/>
          <w:sz w:val="24"/>
          <w:szCs w:val="24"/>
          <w:highlight w:val="none"/>
          <w:lang w:val="en-US" w:eastAsia="zh-CN"/>
        </w:rPr>
        <w:t>2</w:t>
      </w:r>
      <w:r>
        <w:rPr>
          <w:rFonts w:hint="eastAsia" w:hAnsi="宋体" w:cs="宋体"/>
          <w:kern w:val="0"/>
          <w:sz w:val="24"/>
          <w:szCs w:val="24"/>
          <w:highlight w:val="none"/>
          <w:lang w:eastAsia="zh-CN"/>
        </w:rPr>
        <w:t>）</w:t>
      </w:r>
      <w:r>
        <w:rPr>
          <w:rFonts w:hint="eastAsia" w:ascii="宋体" w:hAnsi="宋体" w:eastAsia="宋体" w:cs="宋体"/>
          <w:kern w:val="0"/>
          <w:sz w:val="24"/>
          <w:szCs w:val="24"/>
          <w:highlight w:val="none"/>
        </w:rPr>
        <w:t>负面舆情：因乙方或其员工的行为，在公共媒体、网络平台等引发重大负面舆情，对甲方或本项目的声誉造成严重损害，且乙方未能采取有效措施消除负面影响或给出令甲方满意的解释与解决方案的。</w:t>
      </w:r>
    </w:p>
    <w:p w14:paraId="352C43E9">
      <w:pPr>
        <w:keepNext w:val="0"/>
        <w:keepLines w:val="0"/>
        <w:pageBreakBefore w:val="0"/>
        <w:widowControl/>
        <w:kinsoku/>
        <w:wordWrap/>
        <w:overflowPunct/>
        <w:topLinePunct w:val="0"/>
        <w:autoSpaceDE/>
        <w:autoSpaceDN/>
        <w:bidi w:val="0"/>
        <w:snapToGrid/>
        <w:spacing w:line="360" w:lineRule="auto"/>
        <w:ind w:firstLine="480" w:firstLineChars="200"/>
        <w:jc w:val="left"/>
        <w:rPr>
          <w:rFonts w:hint="eastAsia" w:ascii="宋体" w:hAnsi="宋体" w:eastAsia="宋体" w:cs="宋体"/>
          <w:kern w:val="0"/>
          <w:sz w:val="24"/>
          <w:szCs w:val="24"/>
          <w:highlight w:val="none"/>
        </w:rPr>
      </w:pPr>
      <w:r>
        <w:rPr>
          <w:rFonts w:hint="eastAsia" w:hAnsi="宋体" w:cs="宋体"/>
          <w:kern w:val="0"/>
          <w:sz w:val="24"/>
          <w:szCs w:val="24"/>
          <w:highlight w:val="none"/>
          <w:lang w:eastAsia="zh-CN"/>
        </w:rPr>
        <w:t>（</w:t>
      </w:r>
      <w:r>
        <w:rPr>
          <w:rFonts w:hint="eastAsia" w:hAnsi="宋体" w:cs="宋体"/>
          <w:kern w:val="0"/>
          <w:sz w:val="24"/>
          <w:szCs w:val="24"/>
          <w:highlight w:val="none"/>
          <w:lang w:val="en-US" w:eastAsia="zh-CN"/>
        </w:rPr>
        <w:t>3</w:t>
      </w:r>
      <w:r>
        <w:rPr>
          <w:rFonts w:hint="eastAsia" w:hAnsi="宋体" w:cs="宋体"/>
          <w:kern w:val="0"/>
          <w:sz w:val="24"/>
          <w:szCs w:val="24"/>
          <w:highlight w:val="none"/>
          <w:lang w:eastAsia="zh-CN"/>
        </w:rPr>
        <w:t>）</w:t>
      </w:r>
      <w:r>
        <w:rPr>
          <w:rFonts w:hint="eastAsia" w:ascii="宋体" w:hAnsi="宋体" w:eastAsia="宋体" w:cs="宋体"/>
          <w:kern w:val="0"/>
          <w:sz w:val="24"/>
          <w:szCs w:val="24"/>
          <w:highlight w:val="none"/>
        </w:rPr>
        <w:t>违反法律法规：乙方在履行合同期间违反国家相关法律、法规，被行政机关处罚，影响本合同继续履行的。</w:t>
      </w:r>
    </w:p>
    <w:p w14:paraId="437D46C9">
      <w:pPr>
        <w:keepNext w:val="0"/>
        <w:keepLines w:val="0"/>
        <w:pageBreakBefore w:val="0"/>
        <w:widowControl/>
        <w:kinsoku/>
        <w:wordWrap/>
        <w:overflowPunct/>
        <w:topLinePunct w:val="0"/>
        <w:autoSpaceDE/>
        <w:autoSpaceDN/>
        <w:bidi w:val="0"/>
        <w:snapToGrid/>
        <w:spacing w:line="360" w:lineRule="auto"/>
        <w:ind w:left="480" w:leftChars="200" w:firstLine="0" w:firstLineChars="0"/>
        <w:jc w:val="left"/>
        <w:rPr>
          <w:rFonts w:hint="eastAsia" w:hAnsi="宋体" w:cs="宋体"/>
          <w:kern w:val="0"/>
          <w:sz w:val="24"/>
          <w:szCs w:val="24"/>
          <w:highlight w:val="none"/>
          <w:lang w:eastAsia="zh-CN"/>
        </w:rPr>
      </w:pPr>
      <w:r>
        <w:rPr>
          <w:rFonts w:hint="eastAsia" w:hAnsi="宋体" w:cs="宋体"/>
          <w:kern w:val="0"/>
          <w:sz w:val="24"/>
          <w:szCs w:val="24"/>
          <w:highlight w:val="none"/>
          <w:lang w:eastAsia="zh-CN"/>
        </w:rPr>
        <w:t>（</w:t>
      </w:r>
      <w:r>
        <w:rPr>
          <w:rFonts w:hint="eastAsia" w:hAnsi="宋体" w:cs="宋体"/>
          <w:kern w:val="0"/>
          <w:sz w:val="24"/>
          <w:szCs w:val="24"/>
          <w:highlight w:val="none"/>
          <w:lang w:val="en-US" w:eastAsia="zh-CN"/>
        </w:rPr>
        <w:t>4</w:t>
      </w:r>
      <w:r>
        <w:rPr>
          <w:rFonts w:hint="eastAsia" w:hAnsi="宋体" w:cs="宋体"/>
          <w:kern w:val="0"/>
          <w:sz w:val="24"/>
          <w:szCs w:val="24"/>
          <w:highlight w:val="none"/>
          <w:lang w:eastAsia="zh-CN"/>
        </w:rPr>
        <w:t>）</w:t>
      </w:r>
      <w:r>
        <w:rPr>
          <w:rFonts w:hint="eastAsia" w:ascii="宋体" w:hAnsi="宋体" w:eastAsia="宋体" w:cs="宋体"/>
          <w:kern w:val="0"/>
          <w:sz w:val="24"/>
          <w:szCs w:val="24"/>
          <w:highlight w:val="none"/>
        </w:rPr>
        <w:t>其他情形：经甲方考核或研判，乙方提供的服务不满足约定的服务质量标准的</w:t>
      </w:r>
      <w:r>
        <w:rPr>
          <w:rFonts w:hint="eastAsia" w:hAnsi="宋体" w:cs="宋体"/>
          <w:kern w:val="0"/>
          <w:sz w:val="24"/>
          <w:szCs w:val="24"/>
          <w:highlight w:val="none"/>
          <w:lang w:eastAsia="zh-CN"/>
        </w:rPr>
        <w:t>。</w:t>
      </w:r>
    </w:p>
    <w:p w14:paraId="3153C664">
      <w:pPr>
        <w:keepNext w:val="0"/>
        <w:keepLines w:val="0"/>
        <w:pageBreakBefore w:val="0"/>
        <w:widowControl/>
        <w:kinsoku/>
        <w:wordWrap/>
        <w:overflowPunct/>
        <w:topLinePunct w:val="0"/>
        <w:autoSpaceDE/>
        <w:autoSpaceDN/>
        <w:bidi w:val="0"/>
        <w:snapToGrid/>
        <w:spacing w:line="360" w:lineRule="auto"/>
        <w:ind w:firstLine="480" w:firstLineChars="200"/>
        <w:jc w:val="left"/>
        <w:rPr>
          <w:rFonts w:hint="eastAsia" w:ascii="宋体" w:hAnsi="宋体" w:eastAsia="宋体" w:cs="宋体"/>
          <w:kern w:val="0"/>
          <w:sz w:val="24"/>
          <w:szCs w:val="24"/>
          <w:highlight w:val="none"/>
        </w:rPr>
      </w:pPr>
      <w:r>
        <w:rPr>
          <w:rFonts w:hint="eastAsia" w:hAnsi="宋体" w:cs="宋体"/>
          <w:kern w:val="0"/>
          <w:sz w:val="24"/>
          <w:szCs w:val="24"/>
          <w:highlight w:val="none"/>
          <w:lang w:val="en-US" w:eastAsia="zh-CN"/>
        </w:rPr>
        <w:t>2.</w:t>
      </w:r>
      <w:r>
        <w:rPr>
          <w:rFonts w:hint="eastAsia" w:ascii="宋体" w:hAnsi="宋体" w:eastAsia="宋体" w:cs="宋体"/>
          <w:kern w:val="0"/>
          <w:sz w:val="24"/>
          <w:szCs w:val="24"/>
          <w:highlight w:val="none"/>
        </w:rPr>
        <w:t>除</w:t>
      </w:r>
      <w:r>
        <w:rPr>
          <w:rFonts w:hint="eastAsia" w:hAnsi="宋体" w:cs="宋体"/>
          <w:kern w:val="0"/>
          <w:sz w:val="24"/>
          <w:szCs w:val="24"/>
          <w:highlight w:val="none"/>
          <w:lang w:val="en-US" w:eastAsia="zh-CN"/>
        </w:rPr>
        <w:t>以上内容及</w:t>
      </w:r>
      <w:r>
        <w:rPr>
          <w:rFonts w:hint="eastAsia" w:ascii="宋体" w:hAnsi="宋体" w:eastAsia="宋体" w:cs="宋体"/>
          <w:kern w:val="0"/>
          <w:sz w:val="24"/>
          <w:szCs w:val="24"/>
          <w:highlight w:val="none"/>
        </w:rPr>
        <w:t>《中华人民共和国政府采购法》第49条、第50条第二款规定的情形外，本合同一经签订，甲乙双方不得擅自变更、中止或终止合同。</w:t>
      </w:r>
    </w:p>
    <w:p w14:paraId="54DAE590">
      <w:pPr>
        <w:keepNext w:val="0"/>
        <w:keepLines w:val="0"/>
        <w:pageBreakBefore w:val="0"/>
        <w:kinsoku/>
        <w:wordWrap/>
        <w:overflowPunct/>
        <w:topLinePunct w:val="0"/>
        <w:autoSpaceDE/>
        <w:autoSpaceDN/>
        <w:bidi w:val="0"/>
        <w:snapToGrid/>
        <w:spacing w:line="360" w:lineRule="auto"/>
        <w:ind w:left="426"/>
        <w:outlineLvl w:val="1"/>
        <w:rPr>
          <w:rFonts w:hint="eastAsia" w:ascii="宋体" w:hAnsi="宋体" w:eastAsia="宋体" w:cs="宋体"/>
          <w:b/>
          <w:sz w:val="24"/>
          <w:szCs w:val="24"/>
          <w:highlight w:val="none"/>
        </w:rPr>
      </w:pPr>
      <w:bookmarkStart w:id="60" w:name="_Toc32004"/>
      <w:r>
        <w:rPr>
          <w:rFonts w:hint="eastAsia" w:ascii="宋体" w:hAnsi="宋体" w:eastAsia="宋体" w:cs="宋体"/>
          <w:b/>
          <w:sz w:val="24"/>
          <w:szCs w:val="24"/>
          <w:highlight w:val="none"/>
        </w:rPr>
        <w:t>第十三条  解决合同纠纷的方式</w:t>
      </w:r>
      <w:bookmarkEnd w:id="60"/>
    </w:p>
    <w:p w14:paraId="4FE3AE9E">
      <w:pPr>
        <w:pStyle w:val="11"/>
        <w:keepNext w:val="0"/>
        <w:keepLines w:val="0"/>
        <w:pageBreakBefore w:val="0"/>
        <w:kinsoku/>
        <w:wordWrap/>
        <w:overflowPunct/>
        <w:topLinePunct w:val="0"/>
        <w:autoSpaceDE/>
        <w:autoSpaceDN/>
        <w:bidi w:val="0"/>
        <w:snapToGrid/>
        <w:spacing w:line="360" w:lineRule="auto"/>
        <w:ind w:firstLine="420"/>
        <w:rPr>
          <w:rFonts w:hint="eastAsia" w:ascii="宋体" w:hAnsi="宋体" w:eastAsia="宋体" w:cs="宋体"/>
          <w:kern w:val="0"/>
          <w:sz w:val="24"/>
          <w:szCs w:val="24"/>
          <w:highlight w:val="none"/>
        </w:rPr>
      </w:pPr>
      <w:r>
        <w:rPr>
          <w:rFonts w:hint="eastAsia" w:ascii="宋体" w:hAnsi="宋体" w:eastAsia="宋体" w:cs="宋体"/>
          <w:sz w:val="24"/>
          <w:szCs w:val="24"/>
          <w:highlight w:val="none"/>
        </w:rPr>
        <w:t>1</w:t>
      </w:r>
      <w:r>
        <w:rPr>
          <w:rFonts w:hint="eastAsia" w:ascii="宋体" w:hAnsi="宋体" w:eastAsia="宋体" w:cs="宋体"/>
          <w:bCs/>
          <w:color w:val="auto"/>
          <w:sz w:val="24"/>
          <w:szCs w:val="24"/>
          <w:highlight w:val="none"/>
        </w:rPr>
        <w:t>.</w:t>
      </w:r>
      <w:r>
        <w:rPr>
          <w:rFonts w:hint="eastAsia" w:ascii="宋体" w:hAnsi="宋体" w:eastAsia="宋体" w:cs="宋体"/>
          <w:sz w:val="24"/>
          <w:szCs w:val="24"/>
          <w:highlight w:val="none"/>
        </w:rPr>
        <w:t>在执行本合同中发生的或与本合同有关的争端，双方应通过友好协商解决，经协商在</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天内不能达成协议时，</w:t>
      </w:r>
      <w:r>
        <w:rPr>
          <w:rFonts w:hint="eastAsia" w:ascii="宋体" w:hAnsi="宋体" w:eastAsia="宋体" w:cs="宋体"/>
          <w:kern w:val="0"/>
          <w:sz w:val="24"/>
          <w:szCs w:val="24"/>
          <w:highlight w:val="none"/>
        </w:rPr>
        <w:t>则采取以下第</w:t>
      </w:r>
      <w:r>
        <w:rPr>
          <w:rFonts w:hint="eastAsia" w:ascii="宋体" w:hAnsi="宋体" w:eastAsia="宋体" w:cs="宋体"/>
          <w:kern w:val="0"/>
          <w:sz w:val="24"/>
          <w:szCs w:val="24"/>
          <w:highlight w:val="none"/>
          <w:u w:val="single"/>
        </w:rPr>
        <w:t xml:space="preserve"> 1 </w:t>
      </w:r>
      <w:r>
        <w:rPr>
          <w:rFonts w:hint="eastAsia" w:ascii="宋体" w:hAnsi="宋体" w:eastAsia="宋体" w:cs="宋体"/>
          <w:kern w:val="0"/>
          <w:sz w:val="24"/>
          <w:szCs w:val="24"/>
          <w:highlight w:val="none"/>
        </w:rPr>
        <w:t>种方式解决争议：</w:t>
      </w:r>
    </w:p>
    <w:p w14:paraId="7C2DBC09">
      <w:pPr>
        <w:pStyle w:val="11"/>
        <w:keepNext w:val="0"/>
        <w:keepLines w:val="0"/>
        <w:pageBreakBefore w:val="0"/>
        <w:kinsoku/>
        <w:wordWrap/>
        <w:overflowPunct/>
        <w:topLinePunct w:val="0"/>
        <w:autoSpaceDE/>
        <w:autoSpaceDN/>
        <w:bidi w:val="0"/>
        <w:snapToGrid/>
        <w:spacing w:line="360" w:lineRule="auto"/>
        <w:ind w:firstLine="42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（1）向甲方所在地有管辖权的人民法院提起诉讼；</w:t>
      </w:r>
    </w:p>
    <w:p w14:paraId="0A570BB4">
      <w:pPr>
        <w:pStyle w:val="11"/>
        <w:keepNext w:val="0"/>
        <w:keepLines w:val="0"/>
        <w:pageBreakBefore w:val="0"/>
        <w:kinsoku/>
        <w:wordWrap/>
        <w:overflowPunct/>
        <w:topLinePunct w:val="0"/>
        <w:autoSpaceDE/>
        <w:autoSpaceDN/>
        <w:bidi w:val="0"/>
        <w:snapToGrid/>
        <w:spacing w:line="360" w:lineRule="auto"/>
        <w:ind w:firstLine="42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（2）向</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仲裁委员会按其仲裁规则申请仲裁。</w:t>
      </w:r>
    </w:p>
    <w:p w14:paraId="139B969D">
      <w:pPr>
        <w:keepNext w:val="0"/>
        <w:keepLines w:val="0"/>
        <w:pageBreakBefore w:val="0"/>
        <w:tabs>
          <w:tab w:val="left" w:pos="0"/>
        </w:tabs>
        <w:kinsoku/>
        <w:wordWrap/>
        <w:overflowPunct/>
        <w:topLinePunct w:val="0"/>
        <w:autoSpaceDE/>
        <w:autoSpaceDN/>
        <w:bidi w:val="0"/>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bCs/>
          <w:color w:val="auto"/>
          <w:sz w:val="24"/>
          <w:szCs w:val="24"/>
          <w:highlight w:val="none"/>
        </w:rPr>
        <w:t>.</w:t>
      </w:r>
      <w:r>
        <w:rPr>
          <w:rFonts w:hint="eastAsia" w:ascii="宋体" w:hAnsi="宋体" w:eastAsia="宋体" w:cs="宋体"/>
          <w:kern w:val="0"/>
          <w:sz w:val="24"/>
          <w:szCs w:val="24"/>
          <w:highlight w:val="none"/>
        </w:rPr>
        <w:t>在仲裁期间，本合同应继续履行。</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14:paraId="69274063">
      <w:pPr>
        <w:keepNext w:val="0"/>
        <w:keepLines w:val="0"/>
        <w:pageBreakBefore w:val="0"/>
        <w:kinsoku/>
        <w:wordWrap/>
        <w:overflowPunct/>
        <w:topLinePunct w:val="0"/>
        <w:autoSpaceDE/>
        <w:autoSpaceDN/>
        <w:bidi w:val="0"/>
        <w:snapToGrid/>
        <w:spacing w:line="360" w:lineRule="auto"/>
        <w:ind w:left="426"/>
        <w:outlineLvl w:val="1"/>
        <w:rPr>
          <w:rFonts w:hint="eastAsia" w:ascii="宋体" w:hAnsi="宋体" w:eastAsia="宋体" w:cs="宋体"/>
          <w:b/>
          <w:sz w:val="24"/>
          <w:szCs w:val="24"/>
          <w:highlight w:val="none"/>
        </w:rPr>
      </w:pPr>
      <w:bookmarkStart w:id="61" w:name="_Toc28433"/>
      <w:r>
        <w:rPr>
          <w:rFonts w:hint="eastAsia" w:ascii="宋体" w:hAnsi="宋体" w:eastAsia="宋体" w:cs="宋体"/>
          <w:b/>
          <w:sz w:val="24"/>
          <w:szCs w:val="24"/>
          <w:highlight w:val="none"/>
        </w:rPr>
        <w:t>第十四条  合同生效及其他</w:t>
      </w:r>
      <w:bookmarkEnd w:id="61"/>
    </w:p>
    <w:p w14:paraId="185BB2B4">
      <w:pPr>
        <w:pStyle w:val="12"/>
        <w:keepNext w:val="0"/>
        <w:keepLines w:val="0"/>
        <w:pageBreakBefore w:val="0"/>
        <w:kinsoku/>
        <w:wordWrap/>
        <w:overflowPunct/>
        <w:topLinePunct w:val="0"/>
        <w:autoSpaceDE/>
        <w:autoSpaceDN/>
        <w:bidi w:val="0"/>
        <w:snapToGrid/>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bCs/>
          <w:color w:val="auto"/>
          <w:sz w:val="24"/>
          <w:szCs w:val="24"/>
          <w:highlight w:val="none"/>
        </w:rPr>
        <w:t>.</w:t>
      </w:r>
      <w:r>
        <w:rPr>
          <w:rFonts w:hint="eastAsia" w:ascii="宋体" w:hAnsi="宋体" w:eastAsia="宋体" w:cs="宋体"/>
          <w:sz w:val="24"/>
          <w:szCs w:val="24"/>
          <w:highlight w:val="none"/>
        </w:rPr>
        <w:t>合同经双方法定代表人（单位负责人）或授权委托代理人签字并加盖单位公章并由采购代理机构盖章后生效。</w:t>
      </w:r>
    </w:p>
    <w:p w14:paraId="7F00FA07">
      <w:pPr>
        <w:pStyle w:val="12"/>
        <w:keepNext w:val="0"/>
        <w:keepLines w:val="0"/>
        <w:pageBreakBefore w:val="0"/>
        <w:kinsoku/>
        <w:wordWrap/>
        <w:overflowPunct/>
        <w:topLinePunct w:val="0"/>
        <w:autoSpaceDE/>
        <w:autoSpaceDN/>
        <w:bidi w:val="0"/>
        <w:snapToGrid/>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bCs/>
          <w:color w:val="auto"/>
          <w:sz w:val="24"/>
          <w:szCs w:val="24"/>
          <w:highlight w:val="none"/>
        </w:rPr>
        <w:t>.</w:t>
      </w:r>
      <w:r>
        <w:rPr>
          <w:rFonts w:hint="eastAsia" w:ascii="宋体" w:hAnsi="宋体" w:eastAsia="宋体" w:cs="宋体"/>
          <w:sz w:val="24"/>
          <w:szCs w:val="24"/>
          <w:highlight w:val="none"/>
        </w:rPr>
        <w:t>合同执行中涉及采购资金和采购内容修改或补充的，须经政府采购监管部门审批，并签书面补充协议报政府采购监督管理部门备案，方可作为主合同不可分割的一部分。</w:t>
      </w:r>
    </w:p>
    <w:p w14:paraId="2967F43E">
      <w:pPr>
        <w:pStyle w:val="12"/>
        <w:keepNext w:val="0"/>
        <w:keepLines w:val="0"/>
        <w:pageBreakBefore w:val="0"/>
        <w:kinsoku/>
        <w:wordWrap/>
        <w:overflowPunct/>
        <w:topLinePunct w:val="0"/>
        <w:autoSpaceDE/>
        <w:autoSpaceDN/>
        <w:bidi w:val="0"/>
        <w:snapToGrid/>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bCs/>
          <w:color w:val="auto"/>
          <w:sz w:val="24"/>
          <w:szCs w:val="24"/>
          <w:highlight w:val="none"/>
        </w:rPr>
        <w:t>.</w:t>
      </w: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lang w:val="en-US" w:eastAsia="zh-CN"/>
        </w:rPr>
        <w:t>陆</w:t>
      </w:r>
      <w:r>
        <w:rPr>
          <w:rFonts w:hint="eastAsia" w:ascii="宋体" w:hAnsi="宋体" w:eastAsia="宋体" w:cs="宋体"/>
          <w:sz w:val="24"/>
          <w:szCs w:val="24"/>
          <w:highlight w:val="none"/>
        </w:rPr>
        <w:t>份，自双方签章之日起起效。甲方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份，政府采购代理机构壹份，同级财政部门备案壹份，具有同等法律效力。</w:t>
      </w:r>
    </w:p>
    <w:p w14:paraId="289E064E">
      <w:pPr>
        <w:pStyle w:val="12"/>
        <w:keepNext w:val="0"/>
        <w:keepLines w:val="0"/>
        <w:pageBreakBefore w:val="0"/>
        <w:kinsoku/>
        <w:wordWrap/>
        <w:overflowPunct/>
        <w:topLinePunct w:val="0"/>
        <w:autoSpaceDE/>
        <w:autoSpaceDN/>
        <w:bidi w:val="0"/>
        <w:snapToGrid/>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第十五条 附件</w:t>
      </w:r>
    </w:p>
    <w:p w14:paraId="17F65334">
      <w:pPr>
        <w:pStyle w:val="12"/>
        <w:keepNext w:val="0"/>
        <w:keepLines w:val="0"/>
        <w:pageBreakBefore w:val="0"/>
        <w:kinsoku/>
        <w:wordWrap/>
        <w:overflowPunct/>
        <w:topLinePunct w:val="0"/>
        <w:autoSpaceDE/>
        <w:autoSpaceDN/>
        <w:bidi w:val="0"/>
        <w:snapToGrid/>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1、项目采购文件</w:t>
      </w:r>
    </w:p>
    <w:p w14:paraId="552F4003">
      <w:pPr>
        <w:pStyle w:val="12"/>
        <w:keepNext w:val="0"/>
        <w:keepLines w:val="0"/>
        <w:pageBreakBefore w:val="0"/>
        <w:kinsoku/>
        <w:wordWrap/>
        <w:overflowPunct/>
        <w:topLinePunct w:val="0"/>
        <w:autoSpaceDE/>
        <w:autoSpaceDN/>
        <w:bidi w:val="0"/>
        <w:snapToGrid/>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2、项目修改澄清文件</w:t>
      </w:r>
    </w:p>
    <w:p w14:paraId="7DDD5FD3">
      <w:pPr>
        <w:pStyle w:val="12"/>
        <w:keepNext w:val="0"/>
        <w:keepLines w:val="0"/>
        <w:pageBreakBefore w:val="0"/>
        <w:kinsoku/>
        <w:wordWrap/>
        <w:overflowPunct/>
        <w:topLinePunct w:val="0"/>
        <w:autoSpaceDE/>
        <w:autoSpaceDN/>
        <w:bidi w:val="0"/>
        <w:snapToGrid/>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3、项目响应文件</w:t>
      </w:r>
    </w:p>
    <w:p w14:paraId="06DC7E17">
      <w:pPr>
        <w:pStyle w:val="12"/>
        <w:keepNext w:val="0"/>
        <w:keepLines w:val="0"/>
        <w:pageBreakBefore w:val="0"/>
        <w:kinsoku/>
        <w:wordWrap/>
        <w:overflowPunct/>
        <w:topLinePunct w:val="0"/>
        <w:autoSpaceDE/>
        <w:autoSpaceDN/>
        <w:bidi w:val="0"/>
        <w:snapToGrid/>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4、成交通知书</w:t>
      </w:r>
    </w:p>
    <w:p w14:paraId="1B06AB14">
      <w:pPr>
        <w:pStyle w:val="12"/>
        <w:keepNext w:val="0"/>
        <w:keepLines w:val="0"/>
        <w:pageBreakBefore w:val="0"/>
        <w:kinsoku/>
        <w:wordWrap/>
        <w:overflowPunct/>
        <w:topLinePunct w:val="0"/>
        <w:autoSpaceDE/>
        <w:autoSpaceDN/>
        <w:bidi w:val="0"/>
        <w:snapToGrid/>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5、其他</w:t>
      </w:r>
    </w:p>
    <w:p w14:paraId="7EECCDA8">
      <w:pPr>
        <w:keepNext w:val="0"/>
        <w:keepLines w:val="0"/>
        <w:pageBreakBefore w:val="0"/>
        <w:kinsoku/>
        <w:wordWrap/>
        <w:overflowPunct/>
        <w:topLinePunct w:val="0"/>
        <w:autoSpaceDE/>
        <w:autoSpaceDN/>
        <w:bidi w:val="0"/>
        <w:spacing w:line="360" w:lineRule="auto"/>
        <w:rPr>
          <w:rFonts w:hint="eastAsia" w:hAnsi="宋体"/>
          <w:b/>
          <w:bCs/>
          <w:color w:val="000000"/>
          <w:kern w:val="2"/>
          <w:sz w:val="36"/>
          <w:szCs w:val="36"/>
          <w:highlight w:val="none"/>
          <w:lang w:val="en-US" w:eastAsia="zh-CN"/>
        </w:rPr>
      </w:pPr>
      <w:r>
        <w:rPr>
          <w:rFonts w:hint="eastAsia" w:hAnsi="宋体"/>
          <w:b/>
          <w:bCs/>
          <w:color w:val="000000"/>
          <w:kern w:val="2"/>
          <w:sz w:val="36"/>
          <w:szCs w:val="36"/>
          <w:highlight w:val="none"/>
          <w:lang w:val="en-US" w:eastAsia="zh-CN"/>
        </w:rPr>
        <w:br w:type="page"/>
      </w:r>
    </w:p>
    <w:p w14:paraId="491CF86B">
      <w:pPr>
        <w:pStyle w:val="12"/>
        <w:keepNext w:val="0"/>
        <w:keepLines w:val="0"/>
        <w:pageBreakBefore w:val="0"/>
        <w:kinsoku/>
        <w:wordWrap/>
        <w:overflowPunct/>
        <w:topLinePunct w:val="0"/>
        <w:autoSpaceDE/>
        <w:autoSpaceDN/>
        <w:bidi w:val="0"/>
        <w:snapToGrid/>
        <w:spacing w:line="360" w:lineRule="auto"/>
        <w:ind w:left="0" w:leftChars="0"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（以下无正文）</w:t>
      </w:r>
    </w:p>
    <w:p w14:paraId="14F98BB1">
      <w:pPr>
        <w:pStyle w:val="4"/>
        <w:keepNext w:val="0"/>
        <w:keepLines w:val="0"/>
        <w:pageBreakBefore w:val="0"/>
        <w:kinsoku/>
        <w:wordWrap/>
        <w:overflowPunct/>
        <w:topLinePunct w:val="0"/>
        <w:autoSpaceDE/>
        <w:autoSpaceDN/>
        <w:bidi w:val="0"/>
        <w:spacing w:line="360" w:lineRule="auto"/>
        <w:rPr>
          <w:rFonts w:hint="eastAsia" w:hAnsi="宋体"/>
          <w:b/>
          <w:bCs/>
          <w:color w:val="000000"/>
          <w:sz w:val="36"/>
          <w:szCs w:val="36"/>
          <w:highlight w:val="none"/>
        </w:rPr>
      </w:pPr>
    </w:p>
    <w:p w14:paraId="5E0AFCAD">
      <w:pPr>
        <w:keepNext w:val="0"/>
        <w:keepLines w:val="0"/>
        <w:pageBreakBefore w:val="0"/>
        <w:kinsoku/>
        <w:wordWrap/>
        <w:overflowPunct/>
        <w:topLinePunct w:val="0"/>
        <w:autoSpaceDE/>
        <w:autoSpaceDN/>
        <w:bidi w:val="0"/>
        <w:spacing w:line="360" w:lineRule="auto"/>
        <w:ind w:firstLine="480" w:firstLineChars="200"/>
        <w:rPr>
          <w:rFonts w:hAnsi="宋体"/>
          <w:color w:val="000000"/>
          <w:highlight w:val="none"/>
        </w:rPr>
      </w:pPr>
      <w:r>
        <w:rPr>
          <w:rFonts w:hint="eastAsia" w:hAnsi="宋体"/>
          <w:color w:val="000000"/>
          <w:highlight w:val="none"/>
        </w:rPr>
        <w:t>甲方：   （盖章）</w:t>
      </w:r>
      <w:r>
        <w:rPr>
          <w:rFonts w:hAnsi="宋体"/>
          <w:color w:val="000000"/>
          <w:highlight w:val="none"/>
        </w:rPr>
        <w:t xml:space="preserve">   </w:t>
      </w:r>
      <w:r>
        <w:rPr>
          <w:rFonts w:hAnsi="宋体"/>
          <w:color w:val="000000"/>
          <w:highlight w:val="none"/>
        </w:rPr>
        <w:tab/>
      </w:r>
      <w:r>
        <w:rPr>
          <w:rFonts w:hAnsi="宋体"/>
          <w:color w:val="000000"/>
          <w:highlight w:val="none"/>
        </w:rPr>
        <w:tab/>
      </w:r>
      <w:r>
        <w:rPr>
          <w:rFonts w:hAnsi="宋体"/>
          <w:color w:val="000000"/>
          <w:highlight w:val="none"/>
        </w:rPr>
        <w:tab/>
      </w:r>
      <w:r>
        <w:rPr>
          <w:rFonts w:hAnsi="宋体"/>
          <w:color w:val="000000"/>
          <w:highlight w:val="none"/>
        </w:rPr>
        <w:t xml:space="preserve">    </w:t>
      </w:r>
      <w:r>
        <w:rPr>
          <w:rFonts w:hint="eastAsia" w:hAnsi="宋体"/>
          <w:color w:val="000000"/>
          <w:highlight w:val="none"/>
        </w:rPr>
        <w:t xml:space="preserve">       </w:t>
      </w:r>
      <w:r>
        <w:rPr>
          <w:rFonts w:hint="eastAsia" w:hAnsi="宋体"/>
          <w:color w:val="000000"/>
          <w:highlight w:val="none"/>
          <w:lang w:val="en-US" w:eastAsia="zh-CN"/>
        </w:rPr>
        <w:t xml:space="preserve"> </w:t>
      </w:r>
      <w:r>
        <w:rPr>
          <w:rFonts w:hint="eastAsia" w:hAnsi="宋体"/>
          <w:color w:val="000000"/>
          <w:highlight w:val="none"/>
        </w:rPr>
        <w:t>乙方：</w:t>
      </w:r>
      <w:r>
        <w:rPr>
          <w:rFonts w:hAnsi="宋体"/>
          <w:color w:val="000000"/>
          <w:highlight w:val="none"/>
        </w:rPr>
        <w:t xml:space="preserve">   </w:t>
      </w:r>
      <w:r>
        <w:rPr>
          <w:rFonts w:hint="eastAsia" w:hAnsi="宋体"/>
          <w:color w:val="000000"/>
          <w:highlight w:val="none"/>
        </w:rPr>
        <w:t>（盖章）</w:t>
      </w:r>
    </w:p>
    <w:p w14:paraId="3FD2669F">
      <w:pPr>
        <w:keepNext w:val="0"/>
        <w:keepLines w:val="0"/>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法定代表人（单位负责人）：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法定代表人（单位负责人）：</w:t>
      </w:r>
    </w:p>
    <w:p w14:paraId="4B37190B">
      <w:pPr>
        <w:keepNext w:val="0"/>
        <w:keepLines w:val="0"/>
        <w:pageBreakBefore w:val="0"/>
        <w:kinsoku/>
        <w:wordWrap/>
        <w:overflowPunct/>
        <w:topLinePunct w:val="0"/>
        <w:autoSpaceDE/>
        <w:autoSpaceDN/>
        <w:bidi w:val="0"/>
        <w:spacing w:line="360" w:lineRule="auto"/>
        <w:ind w:firstLine="480" w:firstLineChars="200"/>
        <w:rPr>
          <w:rFonts w:hAnsi="宋体"/>
          <w:color w:val="000000"/>
          <w:highlight w:val="none"/>
        </w:rPr>
      </w:pPr>
      <w:r>
        <w:rPr>
          <w:rFonts w:hint="eastAsia" w:hAnsi="宋体"/>
          <w:color w:val="000000"/>
          <w:highlight w:val="none"/>
        </w:rPr>
        <w:t>地</w:t>
      </w:r>
      <w:r>
        <w:rPr>
          <w:rFonts w:hAnsi="宋体"/>
          <w:color w:val="000000"/>
          <w:highlight w:val="none"/>
        </w:rPr>
        <w:t xml:space="preserve">    </w:t>
      </w:r>
      <w:r>
        <w:rPr>
          <w:rFonts w:hint="eastAsia" w:hAnsi="宋体"/>
          <w:color w:val="000000"/>
          <w:highlight w:val="none"/>
        </w:rPr>
        <w:t>址：</w:t>
      </w:r>
      <w:r>
        <w:rPr>
          <w:rFonts w:hAnsi="宋体"/>
          <w:color w:val="000000"/>
          <w:highlight w:val="none"/>
        </w:rPr>
        <w:t xml:space="preserve">                         </w:t>
      </w:r>
      <w:r>
        <w:rPr>
          <w:rFonts w:hint="eastAsia" w:hAnsi="宋体"/>
          <w:color w:val="000000"/>
          <w:highlight w:val="none"/>
        </w:rPr>
        <w:t xml:space="preserve">    地</w:t>
      </w:r>
      <w:r>
        <w:rPr>
          <w:rFonts w:hAnsi="宋体"/>
          <w:color w:val="000000"/>
          <w:highlight w:val="none"/>
        </w:rPr>
        <w:t xml:space="preserve">    </w:t>
      </w:r>
      <w:r>
        <w:rPr>
          <w:rFonts w:hint="eastAsia" w:hAnsi="宋体"/>
          <w:color w:val="000000"/>
          <w:highlight w:val="none"/>
        </w:rPr>
        <w:t>址：</w:t>
      </w:r>
    </w:p>
    <w:p w14:paraId="48134B19">
      <w:pPr>
        <w:keepNext w:val="0"/>
        <w:keepLines w:val="0"/>
        <w:pageBreakBefore w:val="0"/>
        <w:kinsoku/>
        <w:wordWrap/>
        <w:overflowPunct/>
        <w:topLinePunct w:val="0"/>
        <w:autoSpaceDE/>
        <w:autoSpaceDN/>
        <w:bidi w:val="0"/>
        <w:spacing w:line="360" w:lineRule="auto"/>
        <w:ind w:firstLine="480" w:firstLineChars="200"/>
        <w:rPr>
          <w:rFonts w:hAnsi="宋体"/>
          <w:color w:val="000000"/>
          <w:highlight w:val="none"/>
        </w:rPr>
      </w:pPr>
      <w:r>
        <w:rPr>
          <w:rFonts w:hint="eastAsia" w:hAnsi="宋体"/>
          <w:color w:val="000000"/>
          <w:highlight w:val="none"/>
        </w:rPr>
        <w:t>开户银行：</w:t>
      </w:r>
      <w:r>
        <w:rPr>
          <w:rFonts w:hAnsi="宋体"/>
          <w:color w:val="000000"/>
          <w:highlight w:val="none"/>
        </w:rPr>
        <w:t xml:space="preserve">                         </w:t>
      </w:r>
      <w:r>
        <w:rPr>
          <w:rFonts w:hint="eastAsia" w:hAnsi="宋体"/>
          <w:color w:val="000000"/>
          <w:highlight w:val="none"/>
        </w:rPr>
        <w:t xml:space="preserve">    开户银行：</w:t>
      </w:r>
    </w:p>
    <w:p w14:paraId="4317F6EC">
      <w:pPr>
        <w:keepNext w:val="0"/>
        <w:keepLines w:val="0"/>
        <w:pageBreakBefore w:val="0"/>
        <w:kinsoku/>
        <w:wordWrap/>
        <w:overflowPunct/>
        <w:topLinePunct w:val="0"/>
        <w:autoSpaceDE/>
        <w:autoSpaceDN/>
        <w:bidi w:val="0"/>
        <w:spacing w:line="360" w:lineRule="auto"/>
        <w:ind w:firstLine="480" w:firstLineChars="200"/>
        <w:rPr>
          <w:rFonts w:hAnsi="宋体"/>
          <w:color w:val="000000"/>
          <w:highlight w:val="none"/>
        </w:rPr>
      </w:pPr>
      <w:r>
        <w:rPr>
          <w:rFonts w:hint="eastAsia" w:hAnsi="宋体"/>
          <w:color w:val="000000"/>
          <w:highlight w:val="none"/>
        </w:rPr>
        <w:t>账号：</w:t>
      </w:r>
      <w:r>
        <w:rPr>
          <w:rFonts w:hAnsi="宋体"/>
          <w:color w:val="000000"/>
          <w:highlight w:val="none"/>
        </w:rPr>
        <w:t xml:space="preserve">                             </w:t>
      </w:r>
      <w:r>
        <w:rPr>
          <w:rFonts w:hint="eastAsia" w:hAnsi="宋体"/>
          <w:color w:val="000000"/>
          <w:highlight w:val="none"/>
        </w:rPr>
        <w:t xml:space="preserve">    账号：</w:t>
      </w:r>
    </w:p>
    <w:p w14:paraId="454C7060">
      <w:pPr>
        <w:keepNext w:val="0"/>
        <w:keepLines w:val="0"/>
        <w:pageBreakBefore w:val="0"/>
        <w:kinsoku/>
        <w:wordWrap/>
        <w:overflowPunct/>
        <w:topLinePunct w:val="0"/>
        <w:autoSpaceDE/>
        <w:autoSpaceDN/>
        <w:bidi w:val="0"/>
        <w:spacing w:line="360" w:lineRule="auto"/>
        <w:ind w:firstLine="480" w:firstLineChars="200"/>
        <w:rPr>
          <w:rFonts w:hAnsi="宋体"/>
          <w:color w:val="000000"/>
          <w:highlight w:val="none"/>
        </w:rPr>
      </w:pPr>
      <w:r>
        <w:rPr>
          <w:rFonts w:hint="eastAsia" w:hAnsi="宋体"/>
          <w:color w:val="000000"/>
          <w:highlight w:val="none"/>
        </w:rPr>
        <w:t>电</w:t>
      </w:r>
      <w:r>
        <w:rPr>
          <w:rFonts w:hAnsi="宋体"/>
          <w:color w:val="000000"/>
          <w:highlight w:val="none"/>
        </w:rPr>
        <w:t xml:space="preserve">    </w:t>
      </w:r>
      <w:r>
        <w:rPr>
          <w:rFonts w:hint="eastAsia" w:hAnsi="宋体"/>
          <w:color w:val="000000"/>
          <w:highlight w:val="none"/>
        </w:rPr>
        <w:t>话：</w:t>
      </w:r>
      <w:r>
        <w:rPr>
          <w:rFonts w:hAnsi="宋体"/>
          <w:color w:val="000000"/>
          <w:highlight w:val="none"/>
        </w:rPr>
        <w:t xml:space="preserve">                        </w:t>
      </w:r>
      <w:r>
        <w:rPr>
          <w:rFonts w:hint="eastAsia" w:hAnsi="宋体"/>
          <w:color w:val="000000"/>
          <w:highlight w:val="none"/>
        </w:rPr>
        <w:t xml:space="preserve">   </w:t>
      </w:r>
      <w:r>
        <w:rPr>
          <w:rFonts w:hAnsi="宋体"/>
          <w:color w:val="000000"/>
          <w:highlight w:val="none"/>
        </w:rPr>
        <w:t xml:space="preserve"> </w:t>
      </w:r>
      <w:r>
        <w:rPr>
          <w:rFonts w:hint="eastAsia" w:hAnsi="宋体"/>
          <w:color w:val="000000"/>
          <w:highlight w:val="none"/>
        </w:rPr>
        <w:t xml:space="preserve"> 电</w:t>
      </w:r>
      <w:r>
        <w:rPr>
          <w:rFonts w:hAnsi="宋体"/>
          <w:color w:val="000000"/>
          <w:highlight w:val="none"/>
        </w:rPr>
        <w:t xml:space="preserve">    </w:t>
      </w:r>
      <w:r>
        <w:rPr>
          <w:rFonts w:hint="eastAsia" w:hAnsi="宋体"/>
          <w:color w:val="000000"/>
          <w:highlight w:val="none"/>
        </w:rPr>
        <w:t>话：</w:t>
      </w:r>
    </w:p>
    <w:p w14:paraId="169AA972">
      <w:pPr>
        <w:keepNext w:val="0"/>
        <w:keepLines w:val="0"/>
        <w:pageBreakBefore w:val="0"/>
        <w:kinsoku/>
        <w:wordWrap/>
        <w:overflowPunct/>
        <w:topLinePunct w:val="0"/>
        <w:autoSpaceDE/>
        <w:autoSpaceDN/>
        <w:bidi w:val="0"/>
        <w:spacing w:line="360" w:lineRule="auto"/>
        <w:ind w:firstLine="480" w:firstLineChars="200"/>
        <w:rPr>
          <w:rFonts w:hAnsi="宋体"/>
          <w:color w:val="000000"/>
          <w:highlight w:val="none"/>
        </w:rPr>
      </w:pPr>
      <w:r>
        <w:rPr>
          <w:rFonts w:hint="eastAsia" w:hAnsi="宋体"/>
          <w:color w:val="000000"/>
          <w:highlight w:val="none"/>
        </w:rPr>
        <w:t>传</w:t>
      </w:r>
      <w:r>
        <w:rPr>
          <w:rFonts w:hAnsi="宋体"/>
          <w:color w:val="000000"/>
          <w:highlight w:val="none"/>
        </w:rPr>
        <w:t xml:space="preserve">    </w:t>
      </w:r>
      <w:r>
        <w:rPr>
          <w:rFonts w:hint="eastAsia" w:hAnsi="宋体"/>
          <w:color w:val="000000"/>
          <w:highlight w:val="none"/>
        </w:rPr>
        <w:t>真：</w:t>
      </w:r>
      <w:r>
        <w:rPr>
          <w:rFonts w:hAnsi="宋体"/>
          <w:color w:val="000000"/>
          <w:highlight w:val="none"/>
        </w:rPr>
        <w:t xml:space="preserve">                        </w:t>
      </w:r>
      <w:r>
        <w:rPr>
          <w:rFonts w:hint="eastAsia" w:hAnsi="宋体"/>
          <w:color w:val="000000"/>
          <w:highlight w:val="none"/>
        </w:rPr>
        <w:t xml:space="preserve">   </w:t>
      </w:r>
      <w:r>
        <w:rPr>
          <w:rFonts w:hAnsi="宋体"/>
          <w:color w:val="000000"/>
          <w:highlight w:val="none"/>
        </w:rPr>
        <w:t xml:space="preserve"> </w:t>
      </w:r>
      <w:r>
        <w:rPr>
          <w:rFonts w:hint="eastAsia" w:hAnsi="宋体"/>
          <w:color w:val="000000"/>
          <w:highlight w:val="none"/>
        </w:rPr>
        <w:t xml:space="preserve"> 传</w:t>
      </w:r>
      <w:r>
        <w:rPr>
          <w:rFonts w:hAnsi="宋体"/>
          <w:color w:val="000000"/>
          <w:highlight w:val="none"/>
        </w:rPr>
        <w:t xml:space="preserve">    </w:t>
      </w:r>
      <w:r>
        <w:rPr>
          <w:rFonts w:hint="eastAsia" w:hAnsi="宋体"/>
          <w:color w:val="000000"/>
          <w:highlight w:val="none"/>
        </w:rPr>
        <w:t>真：</w:t>
      </w:r>
    </w:p>
    <w:p w14:paraId="4EB536DE">
      <w:pPr>
        <w:keepNext w:val="0"/>
        <w:keepLines w:val="0"/>
        <w:pageBreakBefore w:val="0"/>
        <w:kinsoku/>
        <w:wordWrap/>
        <w:overflowPunct/>
        <w:topLinePunct w:val="0"/>
        <w:autoSpaceDE/>
        <w:autoSpaceDN/>
        <w:bidi w:val="0"/>
        <w:spacing w:line="360" w:lineRule="auto"/>
        <w:ind w:firstLine="480" w:firstLineChars="200"/>
        <w:rPr>
          <w:rFonts w:hAnsi="宋体"/>
          <w:color w:val="000000"/>
          <w:highlight w:val="none"/>
        </w:rPr>
      </w:pPr>
      <w:r>
        <w:rPr>
          <w:rFonts w:hint="eastAsia" w:hAnsi="宋体"/>
          <w:color w:val="000000"/>
          <w:highlight w:val="none"/>
        </w:rPr>
        <w:t>签约日期：  年   月  日</w:t>
      </w:r>
      <w:r>
        <w:rPr>
          <w:rFonts w:hAnsi="宋体"/>
          <w:color w:val="000000"/>
          <w:highlight w:val="none"/>
        </w:rPr>
        <w:t xml:space="preserve"> </w:t>
      </w:r>
      <w:r>
        <w:rPr>
          <w:rFonts w:hint="eastAsia" w:hAnsi="宋体"/>
          <w:color w:val="000000"/>
          <w:highlight w:val="none"/>
          <w:lang w:val="en-US" w:eastAsia="zh-CN"/>
        </w:rPr>
        <w:t xml:space="preserve">               </w:t>
      </w:r>
      <w:r>
        <w:rPr>
          <w:rFonts w:hint="eastAsia" w:hAnsi="宋体"/>
          <w:color w:val="000000"/>
          <w:highlight w:val="none"/>
        </w:rPr>
        <w:t>签约日期：  年   月  日</w:t>
      </w:r>
    </w:p>
    <w:p w14:paraId="261B3139">
      <w:pPr>
        <w:keepNext w:val="0"/>
        <w:keepLines w:val="0"/>
        <w:pageBreakBefore w:val="0"/>
        <w:kinsoku/>
        <w:wordWrap/>
        <w:overflowPunct/>
        <w:topLinePunct w:val="0"/>
        <w:autoSpaceDE/>
        <w:autoSpaceDN/>
        <w:bidi w:val="0"/>
        <w:spacing w:line="360" w:lineRule="auto"/>
        <w:rPr>
          <w:highlight w:val="none"/>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37901AAF"/>
    <w:rsid w:val="13654854"/>
    <w:rsid w:val="15F54073"/>
    <w:rsid w:val="183E4A6D"/>
    <w:rsid w:val="1B6B2203"/>
    <w:rsid w:val="1E0E6FAA"/>
    <w:rsid w:val="2B944ACD"/>
    <w:rsid w:val="34127DD9"/>
    <w:rsid w:val="37901AAF"/>
    <w:rsid w:val="3C6542D3"/>
    <w:rsid w:val="3EC41A91"/>
    <w:rsid w:val="41E1437B"/>
    <w:rsid w:val="53F77456"/>
    <w:rsid w:val="551B6187"/>
    <w:rsid w:val="594251A5"/>
    <w:rsid w:val="5BD801C0"/>
    <w:rsid w:val="5FC54955"/>
    <w:rsid w:val="64617D51"/>
    <w:rsid w:val="706F478E"/>
    <w:rsid w:val="7659369A"/>
    <w:rsid w:val="796C3F60"/>
    <w:rsid w:val="79F47C5A"/>
    <w:rsid w:val="7C875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ascii="Times New Roman"/>
      <w:kern w:val="2"/>
      <w:sz w:val="18"/>
      <w:szCs w:val="18"/>
    </w:rPr>
  </w:style>
  <w:style w:type="paragraph" w:styleId="6">
    <w:name w:val="toc 1"/>
    <w:basedOn w:val="1"/>
    <w:next w:val="1"/>
    <w:qFormat/>
    <w:uiPriority w:val="39"/>
  </w:style>
  <w:style w:type="paragraph" w:styleId="7">
    <w:name w:val="Normal (Web)"/>
    <w:basedOn w:val="1"/>
    <w:next w:val="5"/>
    <w:qFormat/>
    <w:uiPriority w:val="0"/>
    <w:pPr>
      <w:widowControl/>
      <w:spacing w:before="100" w:beforeAutospacing="1" w:after="100" w:afterAutospacing="1"/>
      <w:jc w:val="left"/>
    </w:pPr>
    <w:rPr>
      <w:rFonts w:hAnsi="宋体"/>
      <w:szCs w:val="24"/>
    </w:rPr>
  </w:style>
  <w:style w:type="paragraph" w:styleId="8">
    <w:name w:val="Body Text First Indent"/>
    <w:basedOn w:val="3"/>
    <w:qFormat/>
    <w:uiPriority w:val="0"/>
    <w:rPr>
      <w:rFonts w:hAnsi="宋体"/>
      <w:sz w:val="18"/>
      <w:szCs w:val="18"/>
    </w:rPr>
  </w:style>
  <w:style w:type="paragraph" w:customStyle="1" w:styleId="11">
    <w:name w:val="样式 首行缩进:  2 字符"/>
    <w:basedOn w:val="1"/>
    <w:qFormat/>
    <w:uiPriority w:val="0"/>
    <w:pPr>
      <w:spacing w:line="400" w:lineRule="exact"/>
      <w:ind w:firstLine="200" w:firstLineChars="200"/>
    </w:pPr>
    <w:rPr>
      <w:rFonts w:cs="宋体"/>
      <w:sz w:val="24"/>
    </w:rPr>
  </w:style>
  <w:style w:type="paragraph" w:styleId="12">
    <w:name w:val="List Paragraph"/>
    <w:basedOn w:val="1"/>
    <w:qFormat/>
    <w:uiPriority w:val="34"/>
    <w:pPr>
      <w:ind w:firstLine="420" w:firstLineChars="200"/>
    </w:pPr>
    <w:rPr>
      <w:rFonts w:ascii="Calibri" w:hAnsi="Calibri"/>
      <w:kern w:val="2"/>
      <w:sz w:val="21"/>
      <w:szCs w:val="22"/>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5005</Words>
  <Characters>5068</Characters>
  <Lines>0</Lines>
  <Paragraphs>0</Paragraphs>
  <TotalTime>0</TotalTime>
  <ScaleCrop>false</ScaleCrop>
  <LinksUpToDate>false</LinksUpToDate>
  <CharactersWithSpaces>5515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2023-12-12T05:53:00Z</dcterms:created>
  <dc:creator>爽爽</dc:creator>
  <cp:lastModifiedBy>Summer</cp:lastModifiedBy>
  <dcterms:modified xsi:type="dcterms:W3CDTF">2026-01-26T04:30:22Z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C9D8403BB9A7438396908D2B0FCEAAB3_11</vt:lpwstr>
  </property>
  <property fmtid="{D5CDD505-2E9C-101B-9397-08002B2CF9AE}" pid="4" name="KSOTemplateDocerSaveRecord">
    <vt:lpwstr>eyJoZGlkIjoiMWY3Nzc4MGZiNjQzMTVmMDc1OWRhZDhiOTgyM2ViOGIiLCJ1c2VySWQiOiIyMzczOTcxMTEifQ==</vt:lpwstr>
  </property>
</Properties>
</file>