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0395F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lang w:val="en-US" w:eastAsia="zh-CN"/>
        </w:rPr>
      </w:pPr>
      <w:r>
        <w:rPr>
          <w:rFonts w:hint="eastAsia"/>
          <w:b/>
          <w:bCs/>
          <w:sz w:val="44"/>
          <w:szCs w:val="44"/>
          <w:lang w:val="en-US" w:eastAsia="zh-CN"/>
        </w:rPr>
        <w:t>采购需求</w:t>
      </w:r>
      <w:bookmarkStart w:id="0" w:name="_GoBack"/>
      <w:bookmarkEnd w:id="0"/>
    </w:p>
    <w:p w14:paraId="5F567AAE">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一、服务内容</w:t>
      </w:r>
    </w:p>
    <w:p w14:paraId="6866D3E6">
      <w:pPr>
        <w:pStyle w:val="5"/>
        <w:keepNext w:val="0"/>
        <w:keepLines w:val="0"/>
        <w:pageBreakBefore w:val="0"/>
        <w:widowControl w:val="0"/>
        <w:kinsoku/>
        <w:wordWrap/>
        <w:overflowPunct/>
        <w:topLinePunct w:val="0"/>
        <w:autoSpaceDE/>
        <w:autoSpaceDN/>
        <w:bidi w:val="0"/>
        <w:adjustRightInd/>
        <w:snapToGrid/>
        <w:spacing w:line="360" w:lineRule="auto"/>
        <w:ind w:firstLine="482"/>
        <w:jc w:val="both"/>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本项目需</w:t>
      </w:r>
      <w:r>
        <w:rPr>
          <w:rFonts w:hint="eastAsia" w:ascii="宋体" w:hAnsi="宋体" w:eastAsia="宋体" w:cs="宋体"/>
          <w:color w:val="auto"/>
          <w:sz w:val="21"/>
          <w:szCs w:val="21"/>
          <w:highlight w:val="none"/>
        </w:rPr>
        <w:t>一次性租赁12台新能源电动车，其中：10辆A级新能源汽车，2辆B级新能源汽车。A级新能源汽车要求市场价值不低于12万，车辆续航里程不低于280公里，B级新能源汽车要求市场价值不低于20万，车辆续航里程不低于500公里，所有车辆均符合普通充电和快速充电两种模式，车辆为</w:t>
      </w:r>
      <w:r>
        <w:rPr>
          <w:rFonts w:hint="eastAsia" w:ascii="宋体" w:hAnsi="宋体" w:cs="宋体"/>
          <w:color w:val="auto"/>
          <w:sz w:val="21"/>
          <w:szCs w:val="21"/>
          <w:highlight w:val="none"/>
          <w:lang w:eastAsia="zh-CN"/>
        </w:rPr>
        <w:t>自动挡</w:t>
      </w:r>
      <w:r>
        <w:rPr>
          <w:rFonts w:hint="eastAsia" w:ascii="宋体" w:hAnsi="宋体" w:eastAsia="宋体" w:cs="宋体"/>
          <w:color w:val="auto"/>
          <w:sz w:val="21"/>
          <w:szCs w:val="21"/>
          <w:highlight w:val="none"/>
        </w:rPr>
        <w:t>位。</w:t>
      </w:r>
      <w:r>
        <w:rPr>
          <w:rFonts w:hint="eastAsia" w:ascii="宋体" w:hAnsi="宋体" w:cs="宋体"/>
          <w:color w:val="auto"/>
          <w:sz w:val="21"/>
          <w:szCs w:val="21"/>
          <w:highlight w:val="none"/>
          <w:lang w:eastAsia="zh-CN"/>
        </w:rPr>
        <w:t>供应商</w:t>
      </w:r>
      <w:r>
        <w:rPr>
          <w:rFonts w:hint="eastAsia" w:ascii="宋体" w:hAnsi="宋体" w:eastAsia="宋体" w:cs="宋体"/>
          <w:color w:val="auto"/>
          <w:sz w:val="21"/>
          <w:szCs w:val="21"/>
          <w:highlight w:val="none"/>
        </w:rPr>
        <w:t>负责对车辆进行交强险和商业险的购买。车辆发生事故后，由</w:t>
      </w:r>
      <w:r>
        <w:rPr>
          <w:rFonts w:hint="eastAsia" w:ascii="宋体" w:hAnsi="宋体" w:cs="宋体"/>
          <w:color w:val="auto"/>
          <w:sz w:val="21"/>
          <w:szCs w:val="21"/>
          <w:highlight w:val="none"/>
          <w:lang w:eastAsia="zh-CN"/>
        </w:rPr>
        <w:t>供应商</w:t>
      </w:r>
      <w:r>
        <w:rPr>
          <w:rFonts w:hint="eastAsia" w:ascii="宋体" w:hAnsi="宋体" w:eastAsia="宋体" w:cs="宋体"/>
          <w:color w:val="auto"/>
          <w:sz w:val="21"/>
          <w:szCs w:val="21"/>
          <w:highlight w:val="none"/>
        </w:rPr>
        <w:t xml:space="preserve">负责处理后续相关业务。 </w:t>
      </w:r>
    </w:p>
    <w:p w14:paraId="370FE2DA">
      <w:pPr>
        <w:pStyle w:val="5"/>
        <w:keepNext w:val="0"/>
        <w:keepLines w:val="0"/>
        <w:pageBreakBefore w:val="0"/>
        <w:widowControl w:val="0"/>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车型一：10辆A级新能源汽车；</w:t>
      </w:r>
    </w:p>
    <w:p w14:paraId="0E5E45AA">
      <w:pPr>
        <w:pStyle w:val="5"/>
        <w:keepNext w:val="0"/>
        <w:keepLines w:val="0"/>
        <w:pageBreakBefore w:val="0"/>
        <w:widowControl w:val="0"/>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车型二：2辆B级新能源汽车。 </w:t>
      </w:r>
    </w:p>
    <w:p w14:paraId="5893F214">
      <w:pPr>
        <w:pStyle w:val="5"/>
        <w:keepNext w:val="0"/>
        <w:keepLines w:val="0"/>
        <w:pageBreakBefore w:val="0"/>
        <w:widowControl w:val="0"/>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b/>
          <w:color w:val="auto"/>
          <w:sz w:val="21"/>
          <w:szCs w:val="21"/>
          <w:highlight w:val="none"/>
          <w:lang w:val="en-US" w:eastAsia="zh-CN"/>
        </w:rPr>
      </w:pPr>
      <w:r>
        <w:rPr>
          <w:rFonts w:hint="eastAsia" w:ascii="宋体" w:hAnsi="宋体" w:eastAsia="宋体" w:cs="宋体"/>
          <w:color w:val="auto"/>
          <w:sz w:val="21"/>
          <w:szCs w:val="21"/>
          <w:highlight w:val="none"/>
        </w:rPr>
        <w:t>同一车型的租赁车辆必须为同一品牌、同一型号。</w:t>
      </w:r>
    </w:p>
    <w:p w14:paraId="25FB37E8">
      <w:pPr>
        <w:pStyle w:val="5"/>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bCs/>
          <w:color w:val="auto"/>
          <w:sz w:val="21"/>
          <w:szCs w:val="21"/>
          <w:highlight w:val="none"/>
          <w:shd w:val="clear" w:fill="FFFFFF"/>
          <w:lang w:val="en-US" w:eastAsia="zh-CN"/>
        </w:rPr>
      </w:pPr>
      <w:r>
        <w:rPr>
          <w:rFonts w:hint="eastAsia" w:ascii="宋体" w:hAnsi="宋体" w:eastAsia="宋体" w:cs="宋体"/>
          <w:b/>
          <w:bCs/>
          <w:color w:val="auto"/>
          <w:sz w:val="21"/>
          <w:szCs w:val="21"/>
          <w:highlight w:val="none"/>
          <w:shd w:val="clear" w:fill="FFFFFF"/>
          <w:lang w:val="en-US" w:eastAsia="zh-CN"/>
        </w:rPr>
        <w:t>二、服务要求</w:t>
      </w:r>
    </w:p>
    <w:p w14:paraId="1EEAA99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w:t>
      </w: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rPr>
        <w:t>车辆必须为五座的纯电动汽车，整车和零部件性能必须满足国家技术标准和各项具体要求。</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提供包括但不限于</w:t>
      </w:r>
      <w:r>
        <w:rPr>
          <w:rFonts w:hint="eastAsia" w:ascii="宋体" w:hAnsi="宋体" w:cs="宋体"/>
          <w:color w:val="auto"/>
          <w:sz w:val="21"/>
          <w:szCs w:val="21"/>
          <w:highlight w:val="none"/>
          <w:lang w:val="en-US" w:eastAsia="zh-CN"/>
        </w:rPr>
        <w:t>车辆行驶证复印件、合格证复印件、</w:t>
      </w:r>
      <w:r>
        <w:rPr>
          <w:rFonts w:hint="eastAsia" w:ascii="宋体" w:hAnsi="宋体" w:eastAsia="宋体" w:cs="宋体"/>
          <w:color w:val="auto"/>
          <w:sz w:val="21"/>
          <w:szCs w:val="21"/>
          <w:highlight w:val="none"/>
          <w:lang w:val="en-US" w:eastAsia="zh-CN"/>
        </w:rPr>
        <w:t>检测报告、彩页、功能界面截图、详细功能说明、技术白皮书、图片等佐证材料。</w:t>
      </w:r>
      <w:r>
        <w:rPr>
          <w:rFonts w:hint="eastAsia" w:ascii="宋体" w:hAnsi="宋体" w:eastAsia="宋体" w:cs="宋体"/>
          <w:color w:val="auto"/>
          <w:sz w:val="21"/>
          <w:szCs w:val="21"/>
          <w:highlight w:val="none"/>
          <w:lang w:eastAsia="zh-CN"/>
        </w:rPr>
        <w:t>）</w:t>
      </w:r>
    </w:p>
    <w:p w14:paraId="475E9493">
      <w:pPr>
        <w:pStyle w:val="5"/>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w:t>
      </w: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rPr>
        <w:t>车辆配有强制保险凭证、商业保险凭证（车损保险、不少于200万第三者责任险）、行驶证、车辆号牌等手续证件，各种随车备件工具齐全。</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提供以上手续证件复印件或图片）</w:t>
      </w:r>
    </w:p>
    <w:p w14:paraId="7D6DEB5E">
      <w:pPr>
        <w:pStyle w:val="5"/>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w:t>
      </w:r>
      <w:r>
        <w:rPr>
          <w:rFonts w:hint="eastAsia" w:ascii="宋体" w:hAnsi="宋体" w:cs="宋体"/>
          <w:color w:val="auto"/>
          <w:sz w:val="21"/>
          <w:szCs w:val="21"/>
          <w:highlight w:val="none"/>
          <w:lang w:val="en-US" w:eastAsia="zh-CN"/>
        </w:rPr>
        <w:t>3.拟投入</w:t>
      </w:r>
      <w:r>
        <w:rPr>
          <w:rFonts w:hint="eastAsia" w:ascii="宋体" w:hAnsi="宋体" w:eastAsia="宋体" w:cs="宋体"/>
          <w:color w:val="auto"/>
          <w:sz w:val="21"/>
          <w:szCs w:val="21"/>
          <w:highlight w:val="none"/>
        </w:rPr>
        <w:t>车辆</w:t>
      </w:r>
      <w:r>
        <w:rPr>
          <w:rFonts w:hint="eastAsia" w:ascii="宋体" w:hAnsi="宋体" w:cs="宋体"/>
          <w:color w:val="auto"/>
          <w:sz w:val="21"/>
          <w:szCs w:val="21"/>
          <w:highlight w:val="none"/>
          <w:lang w:val="en-US" w:eastAsia="zh-CN"/>
        </w:rPr>
        <w:t>年限需</w:t>
      </w:r>
      <w:r>
        <w:rPr>
          <w:rFonts w:hint="eastAsia" w:ascii="宋体" w:hAnsi="宋体" w:eastAsia="宋体" w:cs="宋体"/>
          <w:color w:val="auto"/>
          <w:sz w:val="21"/>
          <w:szCs w:val="21"/>
          <w:highlight w:val="none"/>
        </w:rPr>
        <w:t>在5年之内且行驶里程在40000公里以内，车况良好。车辆无违章、违法及产权法律纠纷。</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提供包括但不限于车辆行驶证复印件、行驶里程表图片、</w:t>
      </w:r>
      <w:r>
        <w:rPr>
          <w:rFonts w:hint="eastAsia" w:ascii="宋体" w:hAnsi="宋体" w:eastAsia="宋体" w:cs="宋体"/>
          <w:color w:val="auto"/>
          <w:sz w:val="21"/>
          <w:szCs w:val="21"/>
          <w:highlight w:val="none"/>
        </w:rPr>
        <w:t>车辆无违章</w:t>
      </w:r>
      <w:r>
        <w:rPr>
          <w:rFonts w:hint="eastAsia" w:ascii="宋体" w:hAnsi="宋体" w:eastAsia="宋体" w:cs="宋体"/>
          <w:color w:val="auto"/>
          <w:sz w:val="21"/>
          <w:szCs w:val="21"/>
          <w:highlight w:val="none"/>
          <w:lang w:val="en-US" w:eastAsia="zh-CN"/>
        </w:rPr>
        <w:t>和无违法</w:t>
      </w:r>
      <w:r>
        <w:rPr>
          <w:rFonts w:hint="eastAsia" w:ascii="宋体" w:hAnsi="宋体" w:cs="宋体"/>
          <w:color w:val="auto"/>
          <w:sz w:val="21"/>
          <w:szCs w:val="21"/>
          <w:highlight w:val="none"/>
          <w:lang w:val="en-US" w:eastAsia="zh-CN"/>
        </w:rPr>
        <w:t>承诺函等佐证材料</w:t>
      </w:r>
      <w:r>
        <w:rPr>
          <w:rFonts w:hint="eastAsia" w:ascii="宋体" w:hAnsi="宋体" w:cs="宋体"/>
          <w:color w:val="auto"/>
          <w:sz w:val="21"/>
          <w:szCs w:val="21"/>
          <w:highlight w:val="none"/>
          <w:lang w:eastAsia="zh-CN"/>
        </w:rPr>
        <w:t>）</w:t>
      </w:r>
    </w:p>
    <w:p w14:paraId="403344C2">
      <w:pPr>
        <w:pStyle w:val="5"/>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w:t>
      </w: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rPr>
        <w:t>按照采购人要求，车身加装环保标识，不得额外收取费用</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提供承诺函</w:t>
      </w:r>
      <w:r>
        <w:rPr>
          <w:rFonts w:hint="eastAsia" w:ascii="宋体" w:hAnsi="宋体" w:cs="宋体"/>
          <w:color w:val="auto"/>
          <w:sz w:val="21"/>
          <w:szCs w:val="21"/>
          <w:highlight w:val="none"/>
          <w:lang w:eastAsia="zh-CN"/>
        </w:rPr>
        <w:t>）</w:t>
      </w:r>
    </w:p>
    <w:p w14:paraId="735665B8">
      <w:pPr>
        <w:pStyle w:val="5"/>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w:t>
      </w: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rPr>
        <w:t>租赁期内，供应商负责缴纳租赁车辆的各种保险费、税费、年度检验费用、维护保养费用。</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提供承诺函</w:t>
      </w:r>
      <w:r>
        <w:rPr>
          <w:rFonts w:hint="eastAsia" w:ascii="宋体" w:hAnsi="宋体" w:cs="宋体"/>
          <w:color w:val="auto"/>
          <w:sz w:val="21"/>
          <w:szCs w:val="21"/>
          <w:highlight w:val="none"/>
          <w:lang w:eastAsia="zh-CN"/>
        </w:rPr>
        <w:t>）</w:t>
      </w:r>
    </w:p>
    <w:p w14:paraId="7C24CBB8">
      <w:pPr>
        <w:pStyle w:val="5"/>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w:t>
      </w:r>
      <w:r>
        <w:rPr>
          <w:rFonts w:hint="eastAsia" w:ascii="宋体" w:hAnsi="宋体" w:cs="宋体"/>
          <w:color w:val="auto"/>
          <w:sz w:val="21"/>
          <w:szCs w:val="21"/>
          <w:highlight w:val="none"/>
          <w:lang w:val="en-US" w:eastAsia="zh-CN"/>
        </w:rPr>
        <w:t>6.</w:t>
      </w:r>
      <w:r>
        <w:rPr>
          <w:rFonts w:hint="eastAsia" w:ascii="宋体" w:hAnsi="宋体" w:eastAsia="宋体" w:cs="宋体"/>
          <w:color w:val="auto"/>
          <w:sz w:val="21"/>
          <w:szCs w:val="21"/>
          <w:highlight w:val="none"/>
        </w:rPr>
        <w:t>租赁期内，若发生交通事故、盗抢等造成的现值损失，由供应商办理保险理赔部分。</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提供承诺函</w:t>
      </w:r>
      <w:r>
        <w:rPr>
          <w:rFonts w:hint="eastAsia" w:ascii="宋体" w:hAnsi="宋体" w:cs="宋体"/>
          <w:color w:val="auto"/>
          <w:sz w:val="21"/>
          <w:szCs w:val="21"/>
          <w:highlight w:val="none"/>
          <w:lang w:eastAsia="zh-CN"/>
        </w:rPr>
        <w:t>）</w:t>
      </w:r>
    </w:p>
    <w:p w14:paraId="1E80F1D4">
      <w:pPr>
        <w:pStyle w:val="5"/>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w:t>
      </w:r>
      <w:r>
        <w:rPr>
          <w:rFonts w:hint="eastAsia" w:ascii="宋体" w:hAnsi="宋体" w:cs="宋体"/>
          <w:color w:val="auto"/>
          <w:sz w:val="21"/>
          <w:szCs w:val="21"/>
          <w:highlight w:val="none"/>
          <w:lang w:val="en-US" w:eastAsia="zh-CN"/>
        </w:rPr>
        <w:t>7.</w:t>
      </w:r>
      <w:r>
        <w:rPr>
          <w:rFonts w:hint="eastAsia" w:ascii="宋体" w:hAnsi="宋体" w:eastAsia="宋体" w:cs="宋体"/>
          <w:color w:val="auto"/>
          <w:sz w:val="21"/>
          <w:szCs w:val="21"/>
          <w:highlight w:val="none"/>
        </w:rPr>
        <w:t>租赁期内，供应商需按要求在采购人指定位置安装充电桩。</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提供承诺函</w:t>
      </w:r>
      <w:r>
        <w:rPr>
          <w:rFonts w:hint="eastAsia" w:ascii="宋体" w:hAnsi="宋体" w:cs="宋体"/>
          <w:color w:val="auto"/>
          <w:sz w:val="21"/>
          <w:szCs w:val="21"/>
          <w:highlight w:val="none"/>
          <w:lang w:eastAsia="zh-CN"/>
        </w:rPr>
        <w:t>）</w:t>
      </w:r>
    </w:p>
    <w:p w14:paraId="5A42D93A">
      <w:pPr>
        <w:pStyle w:val="5"/>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w:t>
      </w:r>
      <w:r>
        <w:rPr>
          <w:rFonts w:hint="eastAsia" w:ascii="宋体" w:hAnsi="宋体" w:cs="宋体"/>
          <w:color w:val="auto"/>
          <w:sz w:val="21"/>
          <w:szCs w:val="21"/>
          <w:highlight w:val="none"/>
          <w:lang w:val="en-US" w:eastAsia="zh-CN"/>
        </w:rPr>
        <w:t>8.</w:t>
      </w:r>
      <w:r>
        <w:rPr>
          <w:rFonts w:hint="eastAsia" w:ascii="宋体" w:hAnsi="宋体" w:eastAsia="宋体" w:cs="宋体"/>
          <w:color w:val="auto"/>
          <w:sz w:val="21"/>
          <w:szCs w:val="21"/>
          <w:highlight w:val="none"/>
        </w:rPr>
        <w:t>租赁期内，供应商需配备两名司机</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司机需具备C1驾驶证</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提供司机驾驶证复印件</w:t>
      </w:r>
      <w:r>
        <w:rPr>
          <w:rFonts w:hint="eastAsia" w:ascii="宋体" w:hAnsi="宋体" w:eastAsia="宋体" w:cs="宋体"/>
          <w:color w:val="auto"/>
          <w:sz w:val="21"/>
          <w:szCs w:val="21"/>
          <w:highlight w:val="none"/>
          <w:lang w:eastAsia="zh-CN"/>
        </w:rPr>
        <w:t>）</w:t>
      </w:r>
    </w:p>
    <w:p w14:paraId="7463D709">
      <w:pPr>
        <w:pStyle w:val="5"/>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w:t>
      </w:r>
      <w:r>
        <w:rPr>
          <w:rFonts w:hint="eastAsia" w:ascii="宋体" w:hAnsi="宋体" w:cs="宋体"/>
          <w:color w:val="auto"/>
          <w:sz w:val="21"/>
          <w:szCs w:val="21"/>
          <w:highlight w:val="none"/>
          <w:lang w:val="en-US" w:eastAsia="zh-CN"/>
        </w:rPr>
        <w:t>9.</w:t>
      </w:r>
      <w:r>
        <w:rPr>
          <w:rFonts w:hint="eastAsia" w:ascii="宋体" w:hAnsi="宋体" w:eastAsia="宋体" w:cs="宋体"/>
          <w:color w:val="auto"/>
          <w:sz w:val="21"/>
          <w:szCs w:val="21"/>
          <w:highlight w:val="none"/>
        </w:rPr>
        <w:t>出租方应在合同签订后7个日历日内安排人员进行安排、部署工作。</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提供承诺函</w:t>
      </w:r>
      <w:r>
        <w:rPr>
          <w:rFonts w:hint="eastAsia" w:ascii="宋体" w:hAnsi="宋体" w:cs="宋体"/>
          <w:color w:val="auto"/>
          <w:sz w:val="21"/>
          <w:szCs w:val="21"/>
          <w:highlight w:val="none"/>
          <w:lang w:eastAsia="zh-CN"/>
        </w:rPr>
        <w:t>）</w:t>
      </w:r>
    </w:p>
    <w:p w14:paraId="16A1387C">
      <w:pPr>
        <w:pStyle w:val="5"/>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10.</w:t>
      </w: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 xml:space="preserve">须提供具体可行的技术培训服务。 </w:t>
      </w:r>
    </w:p>
    <w:p w14:paraId="33219B46">
      <w:pPr>
        <w:pStyle w:val="5"/>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培训地点：采购人指定地点；</w:t>
      </w:r>
    </w:p>
    <w:p w14:paraId="028E70EE">
      <w:pPr>
        <w:pStyle w:val="5"/>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培训对象：采购人指定的技术人员及管理人员； </w:t>
      </w:r>
    </w:p>
    <w:p w14:paraId="7410F274">
      <w:pPr>
        <w:pStyle w:val="5"/>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培训人数及时间：由采购人根据项目进度决定；</w:t>
      </w:r>
    </w:p>
    <w:p w14:paraId="4D26F749">
      <w:pPr>
        <w:pStyle w:val="5"/>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4</w:t>
      </w:r>
      <w:r>
        <w:rPr>
          <w:rFonts w:hint="eastAsia" w:ascii="宋体" w:hAnsi="宋体" w:cs="宋体"/>
          <w:color w:val="auto"/>
          <w:sz w:val="21"/>
          <w:szCs w:val="21"/>
          <w:highlight w:val="none"/>
          <w:lang w:eastAsia="zh-CN"/>
        </w:rPr>
        <w:t>）</w:t>
      </w:r>
      <w:r>
        <w:rPr>
          <w:rFonts w:hint="eastAsia" w:ascii="宋体" w:hAnsi="宋体" w:eastAsia="宋体" w:cs="宋体"/>
          <w:color w:val="auto"/>
          <w:sz w:val="21"/>
          <w:szCs w:val="21"/>
          <w:highlight w:val="none"/>
        </w:rPr>
        <w:t xml:space="preserve">培训内容：车辆的操作原理、日常维护方法、排除故障等各个方面； </w:t>
      </w:r>
    </w:p>
    <w:p w14:paraId="331EA08D">
      <w:pPr>
        <w:pStyle w:val="5"/>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5</w:t>
      </w:r>
      <w:r>
        <w:rPr>
          <w:rFonts w:hint="eastAsia" w:ascii="宋体" w:hAnsi="宋体" w:cs="宋体"/>
          <w:color w:val="auto"/>
          <w:sz w:val="21"/>
          <w:szCs w:val="21"/>
          <w:highlight w:val="none"/>
          <w:lang w:eastAsia="zh-CN"/>
        </w:rPr>
        <w:t>）</w:t>
      </w:r>
      <w:r>
        <w:rPr>
          <w:rFonts w:hint="eastAsia" w:ascii="宋体" w:hAnsi="宋体" w:eastAsia="宋体" w:cs="宋体"/>
          <w:color w:val="auto"/>
          <w:sz w:val="21"/>
          <w:szCs w:val="21"/>
          <w:highlight w:val="none"/>
        </w:rPr>
        <w:t xml:space="preserve">培训目的：熟练操作车辆、能够排除一般故障。 </w:t>
      </w:r>
    </w:p>
    <w:p w14:paraId="6D2FA917">
      <w:pPr>
        <w:pStyle w:val="5"/>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11.</w:t>
      </w:r>
      <w:r>
        <w:rPr>
          <w:rFonts w:hint="eastAsia" w:ascii="宋体" w:hAnsi="宋体" w:eastAsia="宋体" w:cs="宋体"/>
          <w:color w:val="auto"/>
          <w:sz w:val="21"/>
          <w:szCs w:val="21"/>
          <w:highlight w:val="none"/>
        </w:rPr>
        <w:t>车辆性能</w:t>
      </w:r>
      <w:r>
        <w:rPr>
          <w:rFonts w:hint="eastAsia" w:ascii="宋体" w:hAnsi="宋体" w:cs="宋体"/>
          <w:color w:val="auto"/>
          <w:sz w:val="21"/>
          <w:szCs w:val="21"/>
          <w:highlight w:val="none"/>
          <w:lang w:eastAsia="zh-CN"/>
        </w:rPr>
        <w:t>（</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参数提供包括但不限于</w:t>
      </w:r>
      <w:r>
        <w:rPr>
          <w:rFonts w:hint="eastAsia" w:ascii="宋体" w:hAnsi="宋体" w:cs="宋体"/>
          <w:color w:val="auto"/>
          <w:sz w:val="21"/>
          <w:szCs w:val="21"/>
          <w:highlight w:val="none"/>
          <w:lang w:val="en-US" w:eastAsia="zh-CN"/>
        </w:rPr>
        <w:t>车辆行驶证复印件、合格证复印件、</w:t>
      </w:r>
      <w:r>
        <w:rPr>
          <w:rFonts w:hint="eastAsia" w:ascii="宋体" w:hAnsi="宋体" w:eastAsia="宋体" w:cs="宋体"/>
          <w:color w:val="auto"/>
          <w:sz w:val="21"/>
          <w:szCs w:val="21"/>
          <w:highlight w:val="none"/>
          <w:lang w:val="en-US" w:eastAsia="zh-CN"/>
        </w:rPr>
        <w:t>检测报告、彩页、功能界面截图、详细功能说明、技术白皮书、图片等佐证材料。</w:t>
      </w:r>
      <w:r>
        <w:rPr>
          <w:rFonts w:hint="eastAsia" w:ascii="宋体" w:hAnsi="宋体" w:cs="宋体"/>
          <w:color w:val="auto"/>
          <w:sz w:val="21"/>
          <w:szCs w:val="21"/>
          <w:highlight w:val="none"/>
          <w:lang w:eastAsia="zh-CN"/>
        </w:rPr>
        <w:t>）</w:t>
      </w:r>
    </w:p>
    <w:p w14:paraId="2D502B4F">
      <w:pPr>
        <w:pStyle w:val="5"/>
        <w:keepNext w:val="0"/>
        <w:keepLines w:val="0"/>
        <w:pageBreakBefore w:val="0"/>
        <w:widowControl w:val="0"/>
        <w:kinsoku/>
        <w:wordWrap/>
        <w:overflowPunct/>
        <w:topLinePunct w:val="0"/>
        <w:autoSpaceDE/>
        <w:autoSpaceDN/>
        <w:bidi w:val="0"/>
        <w:adjustRightInd/>
        <w:snapToGrid/>
        <w:spacing w:line="360" w:lineRule="auto"/>
        <w:ind w:firstLine="422" w:firstLineChars="2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b/>
          <w:color w:val="auto"/>
          <w:sz w:val="21"/>
          <w:szCs w:val="21"/>
          <w:highlight w:val="none"/>
        </w:rPr>
        <w:t>车型一性能要求：</w:t>
      </w:r>
    </w:p>
    <w:tbl>
      <w:tblPr>
        <w:tblStyle w:val="2"/>
        <w:tblW w:w="0" w:type="auto"/>
        <w:jc w:val="center"/>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3255"/>
        <w:gridCol w:w="4156"/>
      </w:tblGrid>
      <w:tr w14:paraId="08AC783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rPr>
          <w:trHeight w:val="454" w:hRule="exact"/>
          <w:jc w:val="center"/>
        </w:trPr>
        <w:tc>
          <w:tcPr>
            <w:tcW w:w="325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606FC7B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lang w:val="en-US" w:eastAsia="zh-CN"/>
              </w:rPr>
            </w:pPr>
            <w:r>
              <w:rPr>
                <w:rFonts w:hint="default"/>
                <w:lang w:val="en-US" w:eastAsia="zh-CN"/>
              </w:rPr>
              <w:t>▲车身尺寸（mm）</w:t>
            </w:r>
          </w:p>
        </w:tc>
        <w:tc>
          <w:tcPr>
            <w:tcW w:w="4156"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6E79A84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lang w:val="en-US" w:eastAsia="zh-CN"/>
              </w:rPr>
            </w:pPr>
            <w:r>
              <w:rPr>
                <w:rFonts w:hint="default"/>
                <w:lang w:val="en-US" w:eastAsia="zh-CN"/>
              </w:rPr>
              <w:t>长宽高≥4000x1650x1450</w:t>
            </w:r>
          </w:p>
        </w:tc>
      </w:tr>
      <w:tr w14:paraId="762933C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32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56D92F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lang w:val="en-US" w:eastAsia="zh-CN"/>
              </w:rPr>
            </w:pPr>
            <w:r>
              <w:rPr>
                <w:rFonts w:hint="default"/>
                <w:lang w:val="en-US" w:eastAsia="zh-CN"/>
              </w:rPr>
              <w:t>▲NEDC纯电续航里程(km)</w:t>
            </w:r>
          </w:p>
        </w:tc>
        <w:tc>
          <w:tcPr>
            <w:tcW w:w="4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D105C6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lang w:val="en-US" w:eastAsia="zh-CN"/>
              </w:rPr>
            </w:pPr>
            <w:r>
              <w:rPr>
                <w:rFonts w:hint="default"/>
                <w:lang w:val="en-US" w:eastAsia="zh-CN"/>
              </w:rPr>
              <w:t>≥280</w:t>
            </w:r>
          </w:p>
        </w:tc>
      </w:tr>
      <w:tr w14:paraId="68068DD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32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F15488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lang w:val="en-US" w:eastAsia="zh-CN"/>
              </w:rPr>
            </w:pPr>
            <w:r>
              <w:rPr>
                <w:rFonts w:hint="default"/>
                <w:lang w:val="en-US" w:eastAsia="zh-CN"/>
              </w:rPr>
              <w:t>▲轴距（mm）</w:t>
            </w:r>
          </w:p>
        </w:tc>
        <w:tc>
          <w:tcPr>
            <w:tcW w:w="4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AD0E43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lang w:val="en-US" w:eastAsia="zh-CN"/>
              </w:rPr>
            </w:pPr>
            <w:r>
              <w:rPr>
                <w:rFonts w:hint="default"/>
                <w:lang w:val="en-US" w:eastAsia="zh-CN"/>
              </w:rPr>
              <w:t>≥2500</w:t>
            </w:r>
          </w:p>
        </w:tc>
      </w:tr>
      <w:tr w14:paraId="5D4FE26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32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5DC64E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lang w:val="en-US" w:eastAsia="zh-CN"/>
              </w:rPr>
            </w:pPr>
            <w:r>
              <w:rPr>
                <w:rFonts w:hint="default"/>
                <w:lang w:val="en-US" w:eastAsia="zh-CN"/>
              </w:rPr>
              <w:t>车身结构</w:t>
            </w:r>
          </w:p>
        </w:tc>
        <w:tc>
          <w:tcPr>
            <w:tcW w:w="4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1B11C5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lang w:val="en-US" w:eastAsia="zh-CN"/>
              </w:rPr>
            </w:pPr>
            <w:r>
              <w:rPr>
                <w:rFonts w:hint="default"/>
                <w:lang w:val="en-US" w:eastAsia="zh-CN"/>
              </w:rPr>
              <w:t>5门三厢车（5座）</w:t>
            </w:r>
          </w:p>
        </w:tc>
      </w:tr>
      <w:tr w14:paraId="3FF83D2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32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EE4C69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lang w:val="en-US" w:eastAsia="zh-CN"/>
              </w:rPr>
            </w:pPr>
            <w:r>
              <w:rPr>
                <w:rFonts w:hint="default"/>
                <w:lang w:val="en-US" w:eastAsia="zh-CN"/>
              </w:rPr>
              <w:t>▲级别</w:t>
            </w:r>
          </w:p>
        </w:tc>
        <w:tc>
          <w:tcPr>
            <w:tcW w:w="4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C9C292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lang w:val="en-US" w:eastAsia="zh-CN"/>
              </w:rPr>
            </w:pPr>
            <w:r>
              <w:rPr>
                <w:rFonts w:hint="default"/>
                <w:lang w:val="en-US" w:eastAsia="zh-CN"/>
              </w:rPr>
              <w:t>A级紧凑型车</w:t>
            </w:r>
          </w:p>
        </w:tc>
      </w:tr>
      <w:tr w14:paraId="2A13781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32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6A0969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lang w:val="en-US" w:eastAsia="zh-CN"/>
              </w:rPr>
            </w:pPr>
            <w:r>
              <w:rPr>
                <w:rFonts w:hint="default"/>
                <w:lang w:val="en-US" w:eastAsia="zh-CN"/>
              </w:rPr>
              <w:t>▲电池容量(kWh)</w:t>
            </w:r>
          </w:p>
        </w:tc>
        <w:tc>
          <w:tcPr>
            <w:tcW w:w="4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390E785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lang w:val="en-US" w:eastAsia="zh-CN"/>
              </w:rPr>
            </w:pPr>
            <w:r>
              <w:rPr>
                <w:rFonts w:hint="default"/>
                <w:lang w:val="en-US" w:eastAsia="zh-CN"/>
              </w:rPr>
              <w:t>≥35</w:t>
            </w:r>
          </w:p>
        </w:tc>
      </w:tr>
      <w:tr w14:paraId="78D6551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32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3B7BB8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lang w:val="en-US" w:eastAsia="zh-CN"/>
              </w:rPr>
            </w:pPr>
            <w:r>
              <w:rPr>
                <w:rFonts w:hint="default"/>
                <w:lang w:val="en-US" w:eastAsia="zh-CN"/>
              </w:rPr>
              <w:t>▲燃料种类</w:t>
            </w:r>
          </w:p>
        </w:tc>
        <w:tc>
          <w:tcPr>
            <w:tcW w:w="4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6E0EAE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lang w:val="en-US" w:eastAsia="zh-CN"/>
              </w:rPr>
            </w:pPr>
            <w:r>
              <w:rPr>
                <w:rFonts w:hint="default"/>
                <w:lang w:val="en-US" w:eastAsia="zh-CN"/>
              </w:rPr>
              <w:t>纯电</w:t>
            </w:r>
          </w:p>
        </w:tc>
      </w:tr>
      <w:tr w14:paraId="4FDDFB7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32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281A7C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lang w:val="en-US" w:eastAsia="zh-CN"/>
              </w:rPr>
            </w:pPr>
            <w:r>
              <w:rPr>
                <w:rFonts w:hint="default"/>
                <w:lang w:val="en-US" w:eastAsia="zh-CN"/>
              </w:rPr>
              <w:t>变速箱</w:t>
            </w:r>
          </w:p>
        </w:tc>
        <w:tc>
          <w:tcPr>
            <w:tcW w:w="4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4E4FC2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lang w:val="en-US" w:eastAsia="zh-CN"/>
              </w:rPr>
            </w:pPr>
            <w:r>
              <w:rPr>
                <w:rFonts w:hint="default"/>
                <w:lang w:val="en-US" w:eastAsia="zh-CN"/>
              </w:rPr>
              <w:t>电动车单速变速箱</w:t>
            </w:r>
          </w:p>
        </w:tc>
      </w:tr>
      <w:tr w14:paraId="076AD90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32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527910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lang w:val="en-US" w:eastAsia="zh-CN"/>
              </w:rPr>
            </w:pPr>
            <w:r>
              <w:rPr>
                <w:rFonts w:hint="default"/>
                <w:lang w:val="en-US" w:eastAsia="zh-CN"/>
              </w:rPr>
              <w:t>随车工具</w:t>
            </w:r>
          </w:p>
        </w:tc>
        <w:tc>
          <w:tcPr>
            <w:tcW w:w="4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623EFA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lang w:val="en-US" w:eastAsia="zh-CN"/>
              </w:rPr>
            </w:pPr>
            <w:r>
              <w:rPr>
                <w:rFonts w:hint="default"/>
                <w:lang w:val="en-US" w:eastAsia="zh-CN"/>
              </w:rPr>
              <w:t>工具包、三角警示牌、灭火器、千斤顶</w:t>
            </w:r>
          </w:p>
        </w:tc>
      </w:tr>
    </w:tbl>
    <w:p w14:paraId="714027AC">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lang w:val="en-US" w:eastAsia="zh-CN"/>
        </w:rPr>
      </w:pPr>
      <w:r>
        <w:rPr>
          <w:rFonts w:hint="default"/>
          <w:lang w:val="en-US" w:eastAsia="zh-CN"/>
        </w:rPr>
        <w:t>车型二性能要求：</w:t>
      </w:r>
    </w:p>
    <w:tbl>
      <w:tblPr>
        <w:tblStyle w:val="2"/>
        <w:tblW w:w="0" w:type="auto"/>
        <w:jc w:val="center"/>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3210"/>
        <w:gridCol w:w="4218"/>
      </w:tblGrid>
      <w:tr w14:paraId="4460B4C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3210"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6B71FAB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lang w:val="en-US" w:eastAsia="zh-CN"/>
              </w:rPr>
            </w:pPr>
            <w:r>
              <w:rPr>
                <w:rFonts w:hint="default"/>
                <w:lang w:val="en-US" w:eastAsia="zh-CN"/>
              </w:rPr>
              <w:t>▲车身尺寸（mm）</w:t>
            </w:r>
          </w:p>
        </w:tc>
        <w:tc>
          <w:tcPr>
            <w:tcW w:w="4218"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581DDAD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lang w:val="en-US" w:eastAsia="zh-CN"/>
              </w:rPr>
            </w:pPr>
            <w:r>
              <w:rPr>
                <w:rFonts w:hint="default"/>
                <w:lang w:val="en-US" w:eastAsia="zh-CN"/>
              </w:rPr>
              <w:t>长宽高≥4800x1800x1480</w:t>
            </w:r>
          </w:p>
        </w:tc>
      </w:tr>
      <w:tr w14:paraId="4E9D28A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321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984C9A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lang w:val="en-US" w:eastAsia="zh-CN"/>
              </w:rPr>
            </w:pPr>
            <w:r>
              <w:rPr>
                <w:rFonts w:hint="default"/>
                <w:lang w:val="en-US" w:eastAsia="zh-CN"/>
              </w:rPr>
              <w:t>▲轴距（mm）</w:t>
            </w:r>
          </w:p>
        </w:tc>
        <w:tc>
          <w:tcPr>
            <w:tcW w:w="4218" w:type="dxa"/>
            <w:tcBorders>
              <w:top w:val="nil"/>
              <w:left w:val="nil"/>
              <w:bottom w:val="single" w:color="000000" w:sz="4" w:space="0"/>
              <w:right w:val="single" w:color="000000" w:sz="4" w:space="0"/>
            </w:tcBorders>
            <w:tcMar>
              <w:top w:w="0" w:type="dxa"/>
              <w:left w:w="105" w:type="dxa"/>
              <w:bottom w:w="0" w:type="dxa"/>
              <w:right w:w="105" w:type="dxa"/>
            </w:tcMar>
            <w:vAlign w:val="top"/>
          </w:tcPr>
          <w:p w14:paraId="7907C6C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lang w:val="en-US" w:eastAsia="zh-CN"/>
              </w:rPr>
            </w:pPr>
            <w:r>
              <w:rPr>
                <w:rFonts w:hint="default"/>
                <w:lang w:val="en-US" w:eastAsia="zh-CN"/>
              </w:rPr>
              <w:t>≥2800</w:t>
            </w:r>
          </w:p>
        </w:tc>
      </w:tr>
      <w:tr w14:paraId="4318E01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321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F8F76A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lang w:val="en-US" w:eastAsia="zh-CN"/>
              </w:rPr>
            </w:pPr>
            <w:r>
              <w:rPr>
                <w:rFonts w:hint="default"/>
                <w:lang w:val="en-US" w:eastAsia="zh-CN"/>
              </w:rPr>
              <w:t>▲NEDC纯电续航里程(km)</w:t>
            </w:r>
          </w:p>
        </w:tc>
        <w:tc>
          <w:tcPr>
            <w:tcW w:w="4218" w:type="dxa"/>
            <w:tcBorders>
              <w:top w:val="nil"/>
              <w:left w:val="nil"/>
              <w:bottom w:val="single" w:color="000000" w:sz="4" w:space="0"/>
              <w:right w:val="single" w:color="000000" w:sz="4" w:space="0"/>
            </w:tcBorders>
            <w:tcMar>
              <w:top w:w="0" w:type="dxa"/>
              <w:left w:w="105" w:type="dxa"/>
              <w:bottom w:w="0" w:type="dxa"/>
              <w:right w:w="105" w:type="dxa"/>
            </w:tcMar>
            <w:vAlign w:val="top"/>
          </w:tcPr>
          <w:p w14:paraId="7000F93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lang w:val="en-US" w:eastAsia="zh-CN"/>
              </w:rPr>
            </w:pPr>
            <w:r>
              <w:rPr>
                <w:rFonts w:hint="default"/>
                <w:lang w:val="en-US" w:eastAsia="zh-CN"/>
              </w:rPr>
              <w:t>≥500</w:t>
            </w:r>
          </w:p>
        </w:tc>
      </w:tr>
      <w:tr w14:paraId="6FB0450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321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8C1F3E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lang w:val="en-US" w:eastAsia="zh-CN"/>
              </w:rPr>
            </w:pPr>
            <w:r>
              <w:rPr>
                <w:rFonts w:hint="default"/>
                <w:lang w:val="en-US" w:eastAsia="zh-CN"/>
              </w:rPr>
              <w:t>车身结构</w:t>
            </w:r>
          </w:p>
        </w:tc>
        <w:tc>
          <w:tcPr>
            <w:tcW w:w="4218" w:type="dxa"/>
            <w:tcBorders>
              <w:top w:val="nil"/>
              <w:left w:val="nil"/>
              <w:bottom w:val="single" w:color="000000" w:sz="4" w:space="0"/>
              <w:right w:val="single" w:color="000000" w:sz="4" w:space="0"/>
            </w:tcBorders>
            <w:tcMar>
              <w:top w:w="0" w:type="dxa"/>
              <w:left w:w="105" w:type="dxa"/>
              <w:bottom w:w="0" w:type="dxa"/>
              <w:right w:w="105" w:type="dxa"/>
            </w:tcMar>
            <w:vAlign w:val="top"/>
          </w:tcPr>
          <w:p w14:paraId="533DBB1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lang w:val="en-US" w:eastAsia="zh-CN"/>
              </w:rPr>
            </w:pPr>
            <w:r>
              <w:rPr>
                <w:rFonts w:hint="default"/>
                <w:lang w:val="en-US" w:eastAsia="zh-CN"/>
              </w:rPr>
              <w:t>5门三厢车（5座）</w:t>
            </w:r>
          </w:p>
        </w:tc>
      </w:tr>
      <w:tr w14:paraId="7C7752D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321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C6241D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lang w:val="en-US" w:eastAsia="zh-CN"/>
              </w:rPr>
            </w:pPr>
            <w:r>
              <w:rPr>
                <w:rFonts w:hint="default"/>
                <w:lang w:val="en-US" w:eastAsia="zh-CN"/>
              </w:rPr>
              <w:t>▲级别</w:t>
            </w:r>
          </w:p>
        </w:tc>
        <w:tc>
          <w:tcPr>
            <w:tcW w:w="4218" w:type="dxa"/>
            <w:tcBorders>
              <w:top w:val="nil"/>
              <w:left w:val="nil"/>
              <w:bottom w:val="single" w:color="000000" w:sz="4" w:space="0"/>
              <w:right w:val="single" w:color="000000" w:sz="4" w:space="0"/>
            </w:tcBorders>
            <w:tcMar>
              <w:top w:w="0" w:type="dxa"/>
              <w:left w:w="105" w:type="dxa"/>
              <w:bottom w:w="0" w:type="dxa"/>
              <w:right w:w="105" w:type="dxa"/>
            </w:tcMar>
            <w:vAlign w:val="top"/>
          </w:tcPr>
          <w:p w14:paraId="6CF14B1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lang w:val="en-US" w:eastAsia="zh-CN"/>
              </w:rPr>
            </w:pPr>
            <w:r>
              <w:rPr>
                <w:rFonts w:hint="default"/>
                <w:lang w:val="en-US" w:eastAsia="zh-CN"/>
              </w:rPr>
              <w:t>中型车型</w:t>
            </w:r>
          </w:p>
        </w:tc>
      </w:tr>
      <w:tr w14:paraId="7D0176E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321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0468DD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lang w:val="en-US" w:eastAsia="zh-CN"/>
              </w:rPr>
            </w:pPr>
            <w:r>
              <w:rPr>
                <w:rFonts w:hint="default"/>
                <w:lang w:val="en-US" w:eastAsia="zh-CN"/>
              </w:rPr>
              <w:t>▲电池容量(kWh)</w:t>
            </w:r>
          </w:p>
        </w:tc>
        <w:tc>
          <w:tcPr>
            <w:tcW w:w="4218" w:type="dxa"/>
            <w:tcBorders>
              <w:top w:val="nil"/>
              <w:left w:val="nil"/>
              <w:bottom w:val="single" w:color="000000" w:sz="4" w:space="0"/>
              <w:right w:val="single" w:color="000000" w:sz="4" w:space="0"/>
            </w:tcBorders>
            <w:tcMar>
              <w:top w:w="0" w:type="dxa"/>
              <w:left w:w="105" w:type="dxa"/>
              <w:bottom w:w="0" w:type="dxa"/>
              <w:right w:w="105" w:type="dxa"/>
            </w:tcMar>
            <w:vAlign w:val="top"/>
          </w:tcPr>
          <w:p w14:paraId="752F6CF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lang w:val="en-US" w:eastAsia="zh-CN"/>
              </w:rPr>
            </w:pPr>
            <w:r>
              <w:rPr>
                <w:rFonts w:hint="default"/>
                <w:lang w:val="en-US" w:eastAsia="zh-CN"/>
              </w:rPr>
              <w:t>≥90</w:t>
            </w:r>
          </w:p>
        </w:tc>
      </w:tr>
      <w:tr w14:paraId="2A248B0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321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2B8A07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lang w:val="en-US" w:eastAsia="zh-CN"/>
              </w:rPr>
            </w:pPr>
            <w:r>
              <w:rPr>
                <w:rFonts w:hint="default"/>
                <w:lang w:val="en-US" w:eastAsia="zh-CN"/>
              </w:rPr>
              <w:t>燃料种类</w:t>
            </w:r>
          </w:p>
        </w:tc>
        <w:tc>
          <w:tcPr>
            <w:tcW w:w="4218" w:type="dxa"/>
            <w:tcBorders>
              <w:top w:val="nil"/>
              <w:left w:val="nil"/>
              <w:bottom w:val="single" w:color="000000" w:sz="4" w:space="0"/>
              <w:right w:val="single" w:color="000000" w:sz="4" w:space="0"/>
            </w:tcBorders>
            <w:tcMar>
              <w:top w:w="0" w:type="dxa"/>
              <w:left w:w="105" w:type="dxa"/>
              <w:bottom w:w="0" w:type="dxa"/>
              <w:right w:w="105" w:type="dxa"/>
            </w:tcMar>
            <w:vAlign w:val="top"/>
          </w:tcPr>
          <w:p w14:paraId="78AB22F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lang w:val="en-US" w:eastAsia="zh-CN"/>
              </w:rPr>
            </w:pPr>
            <w:r>
              <w:rPr>
                <w:rFonts w:hint="default"/>
                <w:lang w:val="en-US" w:eastAsia="zh-CN"/>
              </w:rPr>
              <w:t>纯电</w:t>
            </w:r>
          </w:p>
        </w:tc>
      </w:tr>
      <w:tr w14:paraId="6397783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321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09202A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lang w:val="en-US" w:eastAsia="zh-CN"/>
              </w:rPr>
            </w:pPr>
            <w:r>
              <w:rPr>
                <w:rFonts w:hint="default"/>
                <w:lang w:val="en-US" w:eastAsia="zh-CN"/>
              </w:rPr>
              <w:t>▲驾驶辅助影像</w:t>
            </w:r>
          </w:p>
        </w:tc>
        <w:tc>
          <w:tcPr>
            <w:tcW w:w="4218" w:type="dxa"/>
            <w:tcBorders>
              <w:top w:val="nil"/>
              <w:left w:val="nil"/>
              <w:bottom w:val="single" w:color="000000" w:sz="4" w:space="0"/>
              <w:right w:val="single" w:color="000000" w:sz="4" w:space="0"/>
            </w:tcBorders>
            <w:tcMar>
              <w:top w:w="0" w:type="dxa"/>
              <w:left w:w="105" w:type="dxa"/>
              <w:bottom w:w="0" w:type="dxa"/>
              <w:right w:w="105" w:type="dxa"/>
            </w:tcMar>
            <w:vAlign w:val="top"/>
          </w:tcPr>
          <w:p w14:paraId="6DC1731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lang w:val="en-US" w:eastAsia="zh-CN"/>
              </w:rPr>
            </w:pPr>
            <w:r>
              <w:rPr>
                <w:rFonts w:hint="default"/>
                <w:lang w:val="en-US" w:eastAsia="zh-CN"/>
              </w:rPr>
              <w:t>360°全景影像</w:t>
            </w:r>
          </w:p>
        </w:tc>
      </w:tr>
      <w:tr w14:paraId="1E9724F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321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9FDC22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lang w:val="en-US" w:eastAsia="zh-CN"/>
              </w:rPr>
            </w:pPr>
            <w:r>
              <w:rPr>
                <w:rFonts w:hint="default"/>
                <w:lang w:val="en-US" w:eastAsia="zh-CN"/>
              </w:rPr>
              <w:t>变速箱</w:t>
            </w:r>
          </w:p>
        </w:tc>
        <w:tc>
          <w:tcPr>
            <w:tcW w:w="4218" w:type="dxa"/>
            <w:tcBorders>
              <w:top w:val="nil"/>
              <w:left w:val="nil"/>
              <w:bottom w:val="single" w:color="000000" w:sz="4" w:space="0"/>
              <w:right w:val="single" w:color="000000" w:sz="4" w:space="0"/>
            </w:tcBorders>
            <w:tcMar>
              <w:top w:w="0" w:type="dxa"/>
              <w:left w:w="105" w:type="dxa"/>
              <w:bottom w:w="0" w:type="dxa"/>
              <w:right w:w="105" w:type="dxa"/>
            </w:tcMar>
            <w:vAlign w:val="top"/>
          </w:tcPr>
          <w:p w14:paraId="2ECED08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lang w:val="en-US" w:eastAsia="zh-CN"/>
              </w:rPr>
            </w:pPr>
            <w:r>
              <w:rPr>
                <w:rFonts w:hint="default"/>
                <w:lang w:val="en-US" w:eastAsia="zh-CN"/>
              </w:rPr>
              <w:t>电动车单速变速箱</w:t>
            </w:r>
          </w:p>
        </w:tc>
      </w:tr>
      <w:tr w14:paraId="7A89C80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321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EB7BD2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lang w:val="en-US" w:eastAsia="zh-CN"/>
              </w:rPr>
            </w:pPr>
            <w:r>
              <w:rPr>
                <w:rFonts w:hint="default"/>
                <w:lang w:val="en-US" w:eastAsia="zh-CN"/>
              </w:rPr>
              <w:t>▲驱动电机数</w:t>
            </w:r>
          </w:p>
        </w:tc>
        <w:tc>
          <w:tcPr>
            <w:tcW w:w="4218" w:type="dxa"/>
            <w:tcBorders>
              <w:top w:val="nil"/>
              <w:left w:val="nil"/>
              <w:bottom w:val="single" w:color="000000" w:sz="4" w:space="0"/>
              <w:right w:val="single" w:color="000000" w:sz="4" w:space="0"/>
            </w:tcBorders>
            <w:tcMar>
              <w:top w:w="0" w:type="dxa"/>
              <w:left w:w="105" w:type="dxa"/>
              <w:bottom w:w="0" w:type="dxa"/>
              <w:right w:w="105" w:type="dxa"/>
            </w:tcMar>
            <w:vAlign w:val="top"/>
          </w:tcPr>
          <w:p w14:paraId="7AD7803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lang w:val="en-US" w:eastAsia="zh-CN"/>
              </w:rPr>
            </w:pPr>
            <w:r>
              <w:rPr>
                <w:rFonts w:hint="default"/>
                <w:lang w:val="en-US" w:eastAsia="zh-CN"/>
              </w:rPr>
              <w:t>双电机驱动</w:t>
            </w:r>
          </w:p>
        </w:tc>
      </w:tr>
      <w:tr w14:paraId="2A2D6AB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321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518534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lang w:val="en-US" w:eastAsia="zh-CN"/>
              </w:rPr>
            </w:pPr>
            <w:r>
              <w:rPr>
                <w:rFonts w:hint="default"/>
                <w:lang w:val="en-US" w:eastAsia="zh-CN"/>
              </w:rPr>
              <w:t>▲电机布局</w:t>
            </w:r>
          </w:p>
        </w:tc>
        <w:tc>
          <w:tcPr>
            <w:tcW w:w="4218" w:type="dxa"/>
            <w:tcBorders>
              <w:top w:val="nil"/>
              <w:left w:val="nil"/>
              <w:bottom w:val="single" w:color="000000" w:sz="4" w:space="0"/>
              <w:right w:val="single" w:color="000000" w:sz="4" w:space="0"/>
            </w:tcBorders>
            <w:tcMar>
              <w:top w:w="0" w:type="dxa"/>
              <w:left w:w="105" w:type="dxa"/>
              <w:bottom w:w="0" w:type="dxa"/>
              <w:right w:w="105" w:type="dxa"/>
            </w:tcMar>
            <w:vAlign w:val="top"/>
          </w:tcPr>
          <w:p w14:paraId="0F7BD37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lang w:val="en-US" w:eastAsia="zh-CN"/>
              </w:rPr>
            </w:pPr>
            <w:r>
              <w:rPr>
                <w:rFonts w:hint="default"/>
                <w:lang w:val="en-US" w:eastAsia="zh-CN"/>
              </w:rPr>
              <w:t>前置+后置</w:t>
            </w:r>
          </w:p>
        </w:tc>
      </w:tr>
      <w:tr w14:paraId="1BBD102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321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CA8BFF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lang w:val="en-US" w:eastAsia="zh-CN"/>
              </w:rPr>
            </w:pPr>
            <w:r>
              <w:rPr>
                <w:rFonts w:hint="default"/>
                <w:lang w:val="en-US" w:eastAsia="zh-CN"/>
              </w:rPr>
              <w:t>随车工具</w:t>
            </w:r>
          </w:p>
        </w:tc>
        <w:tc>
          <w:tcPr>
            <w:tcW w:w="4218" w:type="dxa"/>
            <w:tcBorders>
              <w:top w:val="nil"/>
              <w:left w:val="nil"/>
              <w:bottom w:val="single" w:color="000000" w:sz="4" w:space="0"/>
              <w:right w:val="single" w:color="000000" w:sz="4" w:space="0"/>
            </w:tcBorders>
            <w:tcMar>
              <w:top w:w="0" w:type="dxa"/>
              <w:left w:w="105" w:type="dxa"/>
              <w:bottom w:w="0" w:type="dxa"/>
              <w:right w:w="105" w:type="dxa"/>
            </w:tcMar>
            <w:vAlign w:val="top"/>
          </w:tcPr>
          <w:p w14:paraId="503E613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lang w:val="en-US" w:eastAsia="zh-CN"/>
              </w:rPr>
            </w:pPr>
            <w:r>
              <w:rPr>
                <w:rFonts w:hint="default"/>
                <w:lang w:val="en-US" w:eastAsia="zh-CN"/>
              </w:rPr>
              <w:t>工具包、三角警示牌、灭火器、千斤顶</w:t>
            </w:r>
          </w:p>
        </w:tc>
      </w:tr>
    </w:tbl>
    <w:p w14:paraId="570BA65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12.售后服务要求</w:t>
      </w:r>
    </w:p>
    <w:p w14:paraId="0DEF5E4D">
      <w:pPr>
        <w:pStyle w:val="5"/>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 w:val="0"/>
          <w:bCs w:val="0"/>
          <w:color w:val="auto"/>
          <w:sz w:val="21"/>
          <w:szCs w:val="21"/>
          <w:highlight w:val="none"/>
        </w:rPr>
      </w:pPr>
      <w:r>
        <w:rPr>
          <w:rFonts w:hint="eastAsia" w:ascii="宋体" w:hAnsi="宋体" w:cs="宋体"/>
          <w:b w:val="0"/>
          <w:bCs w:val="0"/>
          <w:color w:val="auto"/>
          <w:sz w:val="21"/>
          <w:szCs w:val="21"/>
          <w:highlight w:val="none"/>
          <w:lang w:val="en-US" w:eastAsia="zh-CN"/>
        </w:rPr>
        <w:t>（1）响应要求：</w:t>
      </w:r>
      <w:r>
        <w:rPr>
          <w:rFonts w:hint="eastAsia" w:ascii="宋体" w:hAnsi="宋体" w:eastAsia="宋体" w:cs="宋体"/>
          <w:b w:val="0"/>
          <w:bCs w:val="0"/>
          <w:color w:val="auto"/>
          <w:sz w:val="21"/>
          <w:szCs w:val="21"/>
          <w:highlight w:val="none"/>
        </w:rPr>
        <w:t xml:space="preserve">租赁期内，接到采购人售后要求后，2小时内响应，4小时内给出解决方案，8小时内安排专人到达现场，12小时内解决问题。如12小时内不能排除故障的，必须安排同档次车型替换。 </w:t>
      </w:r>
    </w:p>
    <w:p w14:paraId="1C2C3BD3">
      <w:pPr>
        <w:pStyle w:val="5"/>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b/>
          <w:bCs/>
          <w:color w:val="auto"/>
          <w:sz w:val="21"/>
          <w:szCs w:val="21"/>
          <w:highlight w:val="none"/>
          <w:lang w:val="en-US" w:eastAsia="zh-CN"/>
        </w:rPr>
      </w:pPr>
      <w:r>
        <w:rPr>
          <w:rFonts w:hint="eastAsia" w:ascii="宋体" w:hAnsi="宋体" w:cs="宋体"/>
          <w:b w:val="0"/>
          <w:bCs w:val="0"/>
          <w:color w:val="auto"/>
          <w:sz w:val="21"/>
          <w:szCs w:val="21"/>
          <w:highlight w:val="none"/>
          <w:lang w:eastAsia="zh-CN"/>
        </w:rPr>
        <w:t>（</w:t>
      </w:r>
      <w:r>
        <w:rPr>
          <w:rFonts w:hint="eastAsia" w:ascii="宋体" w:hAnsi="宋体" w:cs="宋体"/>
          <w:b w:val="0"/>
          <w:bCs w:val="0"/>
          <w:color w:val="auto"/>
          <w:sz w:val="21"/>
          <w:szCs w:val="21"/>
          <w:highlight w:val="none"/>
          <w:lang w:val="en-US" w:eastAsia="zh-CN"/>
        </w:rPr>
        <w:t>2</w:t>
      </w:r>
      <w:r>
        <w:rPr>
          <w:rFonts w:hint="eastAsia" w:ascii="宋体" w:hAnsi="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售后服务保障：</w:t>
      </w:r>
      <w:r>
        <w:rPr>
          <w:rFonts w:hint="eastAsia" w:ascii="宋体" w:hAnsi="宋体" w:cs="宋体"/>
          <w:b w:val="0"/>
          <w:bCs w:val="0"/>
          <w:color w:val="auto"/>
          <w:sz w:val="21"/>
          <w:szCs w:val="21"/>
          <w:highlight w:val="none"/>
          <w:lang w:val="en-US" w:eastAsia="zh-CN"/>
        </w:rPr>
        <w:t>供应商</w:t>
      </w:r>
      <w:r>
        <w:rPr>
          <w:rFonts w:hint="eastAsia" w:ascii="宋体" w:hAnsi="宋体" w:eastAsia="宋体" w:cs="宋体"/>
          <w:b w:val="0"/>
          <w:bCs w:val="0"/>
          <w:color w:val="auto"/>
          <w:sz w:val="21"/>
          <w:szCs w:val="21"/>
          <w:highlight w:val="none"/>
        </w:rPr>
        <w:t>提供7X24小时售后服务，售后服务方式包含但不限于电话售后服务支持，上门售后服务支持等。如车辆事故期间需要进场维修，维修期间</w:t>
      </w:r>
      <w:r>
        <w:rPr>
          <w:rFonts w:hint="eastAsia" w:ascii="宋体" w:hAnsi="宋体" w:cs="宋体"/>
          <w:b w:val="0"/>
          <w:bCs w:val="0"/>
          <w:color w:val="auto"/>
          <w:sz w:val="21"/>
          <w:szCs w:val="21"/>
          <w:highlight w:val="none"/>
          <w:lang w:val="en-US" w:eastAsia="zh-CN"/>
        </w:rPr>
        <w:t>供应商</w:t>
      </w:r>
      <w:r>
        <w:rPr>
          <w:rFonts w:hint="eastAsia" w:ascii="宋体" w:hAnsi="宋体" w:eastAsia="宋体" w:cs="宋体"/>
          <w:b w:val="0"/>
          <w:bCs w:val="0"/>
          <w:color w:val="auto"/>
          <w:sz w:val="21"/>
          <w:szCs w:val="21"/>
          <w:highlight w:val="none"/>
        </w:rPr>
        <w:t>应提供其他替代车辆以保障</w:t>
      </w:r>
      <w:r>
        <w:rPr>
          <w:rFonts w:hint="eastAsia" w:ascii="宋体" w:hAnsi="宋体" w:cs="宋体"/>
          <w:b w:val="0"/>
          <w:bCs w:val="0"/>
          <w:color w:val="auto"/>
          <w:sz w:val="21"/>
          <w:szCs w:val="21"/>
          <w:highlight w:val="none"/>
          <w:lang w:val="en-US" w:eastAsia="zh-CN"/>
        </w:rPr>
        <w:t>采购人</w:t>
      </w:r>
      <w:r>
        <w:rPr>
          <w:rFonts w:hint="eastAsia" w:ascii="宋体" w:hAnsi="宋体" w:eastAsia="宋体" w:cs="宋体"/>
          <w:b w:val="0"/>
          <w:bCs w:val="0"/>
          <w:color w:val="auto"/>
          <w:sz w:val="21"/>
          <w:szCs w:val="21"/>
          <w:highlight w:val="none"/>
        </w:rPr>
        <w:t>环境保护巡查保障工作的顺利。</w:t>
      </w:r>
    </w:p>
    <w:p w14:paraId="6D75DC39">
      <w:pPr>
        <w:pStyle w:val="5"/>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bCs/>
          <w:color w:val="auto"/>
          <w:sz w:val="21"/>
          <w:szCs w:val="21"/>
          <w:highlight w:val="none"/>
          <w:shd w:val="clear" w:fill="FFFFFF"/>
          <w:lang w:val="en-US" w:eastAsia="zh-CN"/>
        </w:rPr>
      </w:pPr>
      <w:r>
        <w:rPr>
          <w:rFonts w:hint="eastAsia" w:ascii="宋体" w:hAnsi="宋体" w:cs="宋体"/>
          <w:b/>
          <w:bCs/>
          <w:color w:val="auto"/>
          <w:sz w:val="21"/>
          <w:szCs w:val="21"/>
          <w:highlight w:val="none"/>
          <w:shd w:val="clear" w:fill="FFFFFF"/>
          <w:lang w:val="en-US" w:eastAsia="zh-CN"/>
        </w:rPr>
        <w:t>三</w:t>
      </w:r>
      <w:r>
        <w:rPr>
          <w:rFonts w:hint="eastAsia" w:ascii="宋体" w:hAnsi="宋体" w:eastAsia="宋体" w:cs="宋体"/>
          <w:b/>
          <w:bCs/>
          <w:color w:val="auto"/>
          <w:sz w:val="21"/>
          <w:szCs w:val="21"/>
          <w:highlight w:val="none"/>
          <w:shd w:val="clear" w:fill="FFFFFF"/>
          <w:lang w:val="en-US" w:eastAsia="zh-CN"/>
        </w:rPr>
        <w:t>、本项目需要落实的政府采购政策：</w:t>
      </w:r>
    </w:p>
    <w:p w14:paraId="624411B6">
      <w:pPr>
        <w:pStyle w:val="5"/>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1.中小企业发展政策：《关于进一步加大政府采购支持中小企业力度的通知》（财库〔2022〕19号）《政府采购促进中小企业发展管理办法》（财库〔2020〕46号）；《财政部、司法部关于政府采购支持监狱企业发展有关问题的通知》（财库〔2014〕68号）；《关于促进残疾人就业政府采购政策的通知》（财库〔2017〕141号）；《陕西省中小企业政府采购信用融资办法》（陕财办采〔2018〕23号）。</w:t>
      </w:r>
    </w:p>
    <w:p w14:paraId="1E35F5C7">
      <w:pPr>
        <w:pStyle w:val="5"/>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2.绿色发展政策：《国务院办公厅关于建立政府强制采购节能产品制度的通知》（国办发〔2007〕51号）；《关于印发环境标志产品政府采购品目清单的通知》（财库〔2019〕18号）《关于印发节能产品政府采购品目清单的通知》（财库〔2019〕19号）；《财政部、国家发展改革委、生态环境部、市场监管总局关于调整优化节能产品、环境标志产品政府采购执行机制的通知》（财库〔2019〕9号）；《商品包装政府采购需求标准（试行）》和《快递包装政府采购需求标准（试行）》（财办库〔2020〕123号）。</w:t>
      </w:r>
    </w:p>
    <w:p w14:paraId="421A2765">
      <w:pPr>
        <w:pStyle w:val="5"/>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3.支持本国产业政策：《国务院办公厅关于在政府采购中实施本国产品标准及相关政策的通知》（国办发〔2025〕34号）；《财政部、工业和信息化部关于贯彻落实国务院办公厅关于在政府采购中实施本国产品标准及相关政策的通知》的意见（财库〔2025〕30号）《财政部关于印发&lt;进口产品管理办法&gt;的通知》（财库〔2007〕119号）；《财政部办公厅关于政府采购进口产品管理有关问题的通知》（财办库〔2008〕248号）。</w:t>
      </w:r>
    </w:p>
    <w:p w14:paraId="6A33083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lang w:val="en-US" w:eastAsia="zh-CN"/>
        </w:rPr>
      </w:pPr>
      <w:r>
        <w:rPr>
          <w:rFonts w:hint="eastAsia" w:ascii="宋体" w:hAnsi="宋体" w:eastAsia="宋体" w:cs="宋体"/>
          <w:b w:val="0"/>
          <w:bCs w:val="0"/>
          <w:snapToGrid/>
          <w:color w:val="auto"/>
          <w:kern w:val="0"/>
          <w:sz w:val="21"/>
          <w:szCs w:val="21"/>
          <w:highlight w:val="none"/>
          <w:lang w:val="en-US" w:eastAsia="zh-CN"/>
        </w:rPr>
        <w:t xml:space="preserve">4.支持创新等政府采购政策。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6467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2026-01-28T12:15:20Z</dcterms:created>
  <dc:creator>Administrator</dc:creator>
  <cp:lastModifiedBy>Lenovo</cp:lastModifiedBy>
  <dcterms:modified xsi:type="dcterms:W3CDTF">2026-01-28T12:16:45Z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eyJoZGlkIjoiYzZkZTVhZDhmYjRjMGEwYTQwZWQ4YmZkZjE5MDQ2MzAiLCJ1c2VySWQiOiI0NDgyMTE1NDUifQ==</vt:lpwstr>
  </property>
  <property fmtid="{D5CDD505-2E9C-101B-9397-08002B2CF9AE}" pid="4" name="ICV">
    <vt:lpwstr>50EDF25F354943069B280671EACA0490_12</vt:lpwstr>
  </property>
</Properties>
</file>