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版本号：SXLX26-02-013Z（G）20260319001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朱雀大街北段东侧危旧房屋连片改造清表工程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SXLX26-02-013Z（G）</w:t>
      </w:r>
      <w:r>
        <w:br/>
      </w:r>
      <w:r>
        <w:br/>
      </w:r>
      <w:r>
        <w:br/>
      </w:r>
    </w:p>
    <w:p>
      <w:pPr>
        <w:pStyle w:val="null3"/>
        <w:jc w:val="center"/>
        <w:outlineLvl w:val="2"/>
      </w:pPr>
      <w:r>
        <w:rPr>
          <w:rFonts w:ascii="仿宋_GB2312" w:hAnsi="仿宋_GB2312" w:cs="仿宋_GB2312" w:eastAsia="仿宋_GB2312"/>
          <w:sz w:val="28"/>
          <w:b/>
        </w:rPr>
        <w:t>西安市碑林区长安路街道办事处（本级）</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西安市碑林区长安路街道办事处（本级）</w:t>
      </w:r>
      <w:r>
        <w:rPr>
          <w:rFonts w:ascii="仿宋_GB2312" w:hAnsi="仿宋_GB2312" w:cs="仿宋_GB2312" w:eastAsia="仿宋_GB2312"/>
        </w:rPr>
        <w:t>委托，拟对</w:t>
      </w:r>
      <w:r>
        <w:rPr>
          <w:rFonts w:ascii="仿宋_GB2312" w:hAnsi="仿宋_GB2312" w:cs="仿宋_GB2312" w:eastAsia="仿宋_GB2312"/>
        </w:rPr>
        <w:t>朱雀大街北段东侧危旧房屋连片改造清表工程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SXLX26-02-013Z（G）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朱雀大街北段东侧危旧房屋连片改造清表工程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长安路街道办事处朱雀大街北段东侧危旧房屋连片改造清表工程对范围内进行地下开挖（具体以工程量清单为准）。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采购包1（长安路街道办事处朱雀大街北段东侧危旧房屋连片改造清表工程）：属于专门面向中小企业采购。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1、供应商资质和专业要求：（1）供应商须具备建设部门颁发的建筑工程施工总承包叁级及以上资质；具备有效的安全生产许可证； （2）拟派项目经理须具有在本单位注册的建筑工程专业二级及以上注册建造师证书和有效的安全生产考核合格证书（B证），并提供未担任其他在建工程项目经理和无不良记录承诺； （3）供应商基本信息及项目经理的基本信息在“陕西省住房和城乡建设厅（http://js.shaanxi.gov.cn/)”可查询。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西安市碑林区长安路街道办事处（本级）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程怀远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029-87803404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任甜、王小琼、马彩霞、杜航、李亚男、郑婧婧、周晓青、王真、梁嘉峰、魏晴霏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采购包1：701,468.05元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参照《国家发展改革委关于进一步放开建设项目专业服务价格的通知》（发改价格〔2015〕299号）文件规定标准计算收取；本项目采购代理服务费不足捌仟元按照捌仟元收取，具体收费金额将在成交公告中公布。 2.造价咨询费[计算依据陕价行〔2014〕88号文]规定标准收取，由中标人在领取《中标通知书》之前支付，造价咨询费：3016元。 3.请将采购代理服务费及造价咨询费汇至下列指定账户： 开户名称：陕西隆信项目管理有限公司 开 户 行：招商银行股份有限公司西安土门支行 账 号：129904064810902 财务部电话：029-88489979-8501 注：代理服务费包含在报价中，不需单独列项。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西安市碑林区长安路街道办事处（本级）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西安市碑林区长安路街道办事处（本级）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西安市碑林区长安路街道办事处（本级）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甲方和用地单位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联系人：任甜、王小琼、马彩霞、杜航、李亚男、郑婧婧、周晓青、王真、梁嘉峰、魏晴霏</w:t>
      </w:r>
    </w:p>
    <w:p>
      <w:pPr>
        <w:pStyle w:val="null3"/>
      </w:pPr>
      <w:r>
        <w:rPr>
          <w:rFonts w:ascii="仿宋_GB2312" w:hAnsi="仿宋_GB2312" w:cs="仿宋_GB2312" w:eastAsia="仿宋_GB2312"/>
        </w:rPr>
        <w:t>联系电话：029-88489979-8202</w:t>
      </w:r>
    </w:p>
    <w:p>
      <w:pPr>
        <w:pStyle w:val="null3"/>
      </w:pPr>
      <w:r>
        <w:rPr>
          <w:rFonts w:ascii="仿宋_GB2312" w:hAnsi="仿宋_GB2312" w:cs="仿宋_GB2312" w:eastAsia="仿宋_GB2312"/>
        </w:rPr>
        <w:t>地址：陕西省西安市雁塔区雁翔路111号赛格·中京坊公寓A1单元2层10201室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701,468.05</w:t>
      </w:r>
    </w:p>
    <w:p>
      <w:pPr>
        <w:pStyle w:val="null3"/>
      </w:pPr>
      <w:r>
        <w:rPr>
          <w:rFonts w:ascii="仿宋_GB2312" w:hAnsi="仿宋_GB2312" w:cs="仿宋_GB2312" w:eastAsia="仿宋_GB2312"/>
        </w:rPr>
        <w:t>采购包最高限价（元）: 701,468.05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朱雀大街北段东侧危旧房屋连片改造清表工程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701,468.05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标的名称：朱雀大街北段东侧危旧房屋连片改造清表工程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朱雀大街作为古都长安（今西安）的核心历史轴线，其北段区域为唐长安城皇城与宫城周边重要遗存分布区，本项目对朱雀大街北段东侧危旧房屋连片改造清表工程进行采购。</w:t>
            </w:r>
          </w:p>
          <w:p>
            <w:pPr>
              <w:pStyle w:val="null3"/>
              <w:ind w:firstLine="402"/>
              <w:jc w:val="both"/>
            </w:pPr>
            <w:r>
              <w:rPr>
                <w:rFonts w:ascii="仿宋_GB2312" w:hAnsi="仿宋_GB2312" w:cs="仿宋_GB2312" w:eastAsia="仿宋_GB2312"/>
                <w:sz w:val="20"/>
                <w:b/>
              </w:rPr>
              <w:t>本项目所属行业为建筑业。</w:t>
            </w:r>
            <w:r>
              <w:rPr>
                <w:rFonts w:ascii="仿宋_GB2312" w:hAnsi="仿宋_GB2312" w:cs="仿宋_GB2312" w:eastAsia="仿宋_GB2312"/>
                <w:sz w:val="20"/>
              </w:rPr>
              <w:t>（营业收入</w:t>
            </w:r>
            <w:r>
              <w:rPr>
                <w:rFonts w:ascii="仿宋_GB2312" w:hAnsi="仿宋_GB2312" w:cs="仿宋_GB2312" w:eastAsia="仿宋_GB2312"/>
                <w:sz w:val="2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0"/>
              </w:rPr>
              <w:t>二、工程内容和施工地点、计划工期、缺陷责任期、质量保修期</w:t>
            </w:r>
          </w:p>
          <w:p>
            <w:pPr>
              <w:pStyle w:val="null3"/>
              <w:ind w:firstLine="400"/>
              <w:jc w:val="both"/>
            </w:pPr>
            <w:r>
              <w:rPr>
                <w:rFonts w:ascii="仿宋_GB2312" w:hAnsi="仿宋_GB2312" w:cs="仿宋_GB2312" w:eastAsia="仿宋_GB2312"/>
                <w:sz w:val="20"/>
              </w:rPr>
              <w:t>（一）工程内容：</w:t>
            </w:r>
            <w:r>
              <w:rPr>
                <w:rFonts w:ascii="仿宋_GB2312" w:hAnsi="仿宋_GB2312" w:cs="仿宋_GB2312" w:eastAsia="仿宋_GB2312"/>
                <w:sz w:val="20"/>
              </w:rPr>
              <w:t>朱雀大街北段东侧危旧房屋连片改造清表工程</w:t>
            </w:r>
            <w:r>
              <w:rPr>
                <w:rFonts w:ascii="仿宋_GB2312" w:hAnsi="仿宋_GB2312" w:cs="仿宋_GB2312" w:eastAsia="仿宋_GB2312"/>
                <w:sz w:val="20"/>
              </w:rPr>
              <w:t>，具体详见工程量清单。</w:t>
            </w:r>
          </w:p>
          <w:p>
            <w:pPr>
              <w:pStyle w:val="null3"/>
              <w:ind w:firstLine="400"/>
              <w:jc w:val="both"/>
            </w:pPr>
            <w:r>
              <w:rPr>
                <w:rFonts w:ascii="仿宋_GB2312" w:hAnsi="仿宋_GB2312" w:cs="仿宋_GB2312" w:eastAsia="仿宋_GB2312"/>
                <w:sz w:val="20"/>
              </w:rPr>
              <w:t>（二）工程地点：陕西省西安市碑林区朱雀大街北段东侧。</w:t>
            </w:r>
          </w:p>
          <w:p>
            <w:pPr>
              <w:pStyle w:val="null3"/>
              <w:ind w:firstLine="400"/>
              <w:jc w:val="both"/>
            </w:pPr>
            <w:r>
              <w:rPr>
                <w:rFonts w:ascii="仿宋_GB2312" w:hAnsi="仿宋_GB2312" w:cs="仿宋_GB2312" w:eastAsia="仿宋_GB2312"/>
                <w:sz w:val="20"/>
              </w:rPr>
              <w:t>（三）计划工期：</w:t>
            </w:r>
            <w:r>
              <w:rPr>
                <w:rFonts w:ascii="仿宋_GB2312" w:hAnsi="仿宋_GB2312" w:cs="仿宋_GB2312" w:eastAsia="仿宋_GB2312"/>
                <w:sz w:val="20"/>
              </w:rPr>
              <w:t>自合同签订之日起7天。</w:t>
            </w:r>
          </w:p>
          <w:p>
            <w:pPr>
              <w:pStyle w:val="null3"/>
              <w:ind w:firstLine="400"/>
              <w:jc w:val="both"/>
            </w:pPr>
            <w:r>
              <w:rPr>
                <w:rFonts w:ascii="仿宋_GB2312" w:hAnsi="仿宋_GB2312" w:cs="仿宋_GB2312" w:eastAsia="仿宋_GB2312"/>
                <w:sz w:val="20"/>
              </w:rPr>
              <w:t>（四）缺陷责任期：</w:t>
            </w:r>
            <w:r>
              <w:rPr>
                <w:rFonts w:ascii="仿宋_GB2312" w:hAnsi="仿宋_GB2312" w:cs="仿宋_GB2312" w:eastAsia="仿宋_GB2312"/>
                <w:sz w:val="20"/>
              </w:rPr>
              <w:t>2年。</w:t>
            </w:r>
          </w:p>
          <w:p>
            <w:pPr>
              <w:pStyle w:val="null3"/>
              <w:ind w:firstLine="400"/>
              <w:jc w:val="both"/>
            </w:pPr>
            <w:r>
              <w:rPr>
                <w:rFonts w:ascii="仿宋_GB2312" w:hAnsi="仿宋_GB2312" w:cs="仿宋_GB2312" w:eastAsia="仿宋_GB2312"/>
                <w:sz w:val="20"/>
              </w:rPr>
              <w:t>（五）质量保修期：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三、工程量清单和编制依据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）编制范围及内容</w:t>
            </w:r>
          </w:p>
          <w:p>
            <w:pPr>
              <w:pStyle w:val="null3"/>
              <w:ind w:firstLine="400"/>
              <w:jc w:val="both"/>
            </w:pPr>
            <w:r>
              <w:rPr>
                <w:rFonts w:ascii="仿宋_GB2312" w:hAnsi="仿宋_GB2312" w:cs="仿宋_GB2312" w:eastAsia="仿宋_GB2312"/>
                <w:sz w:val="20"/>
              </w:rPr>
              <w:t>1.工程量：建设单位提供工程量，本项目工程量为暂定；</w:t>
            </w:r>
          </w:p>
          <w:p>
            <w:pPr>
              <w:pStyle w:val="null3"/>
              <w:ind w:firstLine="400"/>
              <w:jc w:val="both"/>
            </w:pPr>
            <w:r>
              <w:rPr>
                <w:rFonts w:ascii="仿宋_GB2312" w:hAnsi="仿宋_GB2312" w:cs="仿宋_GB2312" w:eastAsia="仿宋_GB2312"/>
                <w:sz w:val="20"/>
              </w:rPr>
              <w:t>2.清单计价：按相关规范及清单计价进行编制；</w:t>
            </w:r>
          </w:p>
          <w:p>
            <w:pPr>
              <w:pStyle w:val="null3"/>
              <w:ind w:firstLine="400"/>
              <w:jc w:val="both"/>
            </w:pPr>
            <w:r>
              <w:rPr>
                <w:rFonts w:ascii="仿宋_GB2312" w:hAnsi="仿宋_GB2312" w:cs="仿宋_GB2312" w:eastAsia="仿宋_GB2312"/>
                <w:sz w:val="20"/>
              </w:rPr>
              <w:t>3.措施项目费：按分部分项工程量清单、相关规范及清单计价进行编制。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）编制依据</w:t>
            </w:r>
          </w:p>
          <w:p>
            <w:pPr>
              <w:pStyle w:val="null3"/>
              <w:ind w:firstLine="400"/>
              <w:jc w:val="both"/>
            </w:pPr>
            <w:r>
              <w:rPr>
                <w:rFonts w:ascii="仿宋_GB2312" w:hAnsi="仿宋_GB2312" w:cs="仿宋_GB2312" w:eastAsia="仿宋_GB2312"/>
                <w:sz w:val="20"/>
              </w:rPr>
              <w:t>1.工程量依据图纸计算；</w:t>
            </w:r>
          </w:p>
          <w:p>
            <w:pPr>
              <w:pStyle w:val="null3"/>
              <w:ind w:firstLine="400"/>
              <w:jc w:val="both"/>
            </w:pPr>
            <w:r>
              <w:rPr>
                <w:rFonts w:ascii="仿宋_GB2312" w:hAnsi="仿宋_GB2312" w:cs="仿宋_GB2312" w:eastAsia="仿宋_GB2312"/>
                <w:sz w:val="20"/>
              </w:rPr>
              <w:t>2.《陕西省建设工程工程量清单计价计算标准》【2025】</w:t>
            </w:r>
          </w:p>
          <w:p>
            <w:pPr>
              <w:pStyle w:val="null3"/>
              <w:ind w:firstLine="400"/>
              <w:jc w:val="both"/>
            </w:pPr>
            <w:r>
              <w:rPr>
                <w:rFonts w:ascii="仿宋_GB2312" w:hAnsi="仿宋_GB2312" w:cs="仿宋_GB2312" w:eastAsia="仿宋_GB2312"/>
                <w:sz w:val="20"/>
              </w:rPr>
              <w:t>3.《陕西省建设工程费用规则》【2025】；</w:t>
            </w:r>
          </w:p>
          <w:p>
            <w:pPr>
              <w:pStyle w:val="null3"/>
              <w:ind w:firstLine="400"/>
              <w:jc w:val="both"/>
            </w:pPr>
            <w:r>
              <w:rPr>
                <w:rFonts w:ascii="仿宋_GB2312" w:hAnsi="仿宋_GB2312" w:cs="仿宋_GB2312" w:eastAsia="仿宋_GB2312"/>
                <w:sz w:val="20"/>
              </w:rPr>
              <w:t>4.正常施工组织设计及施工方法；</w:t>
            </w:r>
          </w:p>
          <w:p>
            <w:pPr>
              <w:pStyle w:val="null3"/>
              <w:ind w:firstLine="400"/>
              <w:jc w:val="both"/>
            </w:pPr>
            <w:r>
              <w:rPr>
                <w:rFonts w:ascii="仿宋_GB2312" w:hAnsi="仿宋_GB2312" w:cs="仿宋_GB2312" w:eastAsia="仿宋_GB2312"/>
                <w:sz w:val="20"/>
              </w:rPr>
              <w:t>5.与建设工程项目有关的标准、规范、图集、技术资料；</w:t>
            </w:r>
          </w:p>
          <w:p>
            <w:pPr>
              <w:pStyle w:val="null3"/>
              <w:ind w:firstLine="400"/>
              <w:jc w:val="both"/>
            </w:pPr>
            <w:r>
              <w:rPr>
                <w:rFonts w:ascii="仿宋_GB2312" w:hAnsi="仿宋_GB2312" w:cs="仿宋_GB2312" w:eastAsia="仿宋_GB2312"/>
                <w:sz w:val="20"/>
              </w:rPr>
              <w:t>6.电子版使用广联达云计价软件GCCP7.0（版本：7.5000.23.2）；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）编制说明</w:t>
            </w:r>
          </w:p>
          <w:p>
            <w:pPr>
              <w:pStyle w:val="null3"/>
              <w:ind w:firstLine="400"/>
              <w:jc w:val="both"/>
            </w:pPr>
            <w:r>
              <w:rPr>
                <w:rFonts w:ascii="仿宋_GB2312" w:hAnsi="仿宋_GB2312" w:cs="仿宋_GB2312" w:eastAsia="仿宋_GB2312"/>
                <w:sz w:val="20"/>
              </w:rPr>
              <w:t>1.工程量清单是工程项目的简单描述，报价时应结合技术规范等要求报价；</w:t>
            </w:r>
          </w:p>
          <w:p>
            <w:pPr>
              <w:pStyle w:val="null3"/>
              <w:ind w:firstLine="400"/>
              <w:jc w:val="both"/>
            </w:pPr>
            <w:r>
              <w:rPr>
                <w:rFonts w:ascii="仿宋_GB2312" w:hAnsi="仿宋_GB2312" w:cs="仿宋_GB2312" w:eastAsia="仿宋_GB2312"/>
                <w:sz w:val="20"/>
              </w:rPr>
              <w:t>2.本工程采用一般计税：组成税前工程造价的分部分项工程项目费、措施项目费、其他项目费均不包含进项税税额；</w:t>
            </w:r>
          </w:p>
          <w:p>
            <w:pPr>
              <w:pStyle w:val="null3"/>
              <w:ind w:firstLine="400"/>
              <w:jc w:val="both"/>
            </w:pPr>
            <w:r>
              <w:rPr>
                <w:rFonts w:ascii="仿宋_GB2312" w:hAnsi="仿宋_GB2312" w:cs="仿宋_GB2312" w:eastAsia="仿宋_GB2312"/>
                <w:sz w:val="20"/>
              </w:rPr>
              <w:t>3.垃圾外运价格包括建筑垃圾的运输、倾倒、填埋处置等费用；</w:t>
            </w:r>
          </w:p>
          <w:p>
            <w:pPr>
              <w:pStyle w:val="null3"/>
              <w:jc w:val="both"/>
            </w:pPr>
            <w:r>
              <w:rPr>
                <w:rFonts w:ascii="仿宋_GB2312" w:hAnsi="仿宋_GB2312" w:cs="仿宋_GB2312" w:eastAsia="仿宋_GB2312"/>
                <w:sz w:val="20"/>
              </w:rPr>
              <w:t>本工程建设单位不回收材料。</w:t>
            </w:r>
          </w:p>
          <w:p>
            <w:pPr>
              <w:pStyle w:val="null3"/>
              <w:jc w:val="both"/>
            </w:pPr>
            <w:r>
              <w:rPr>
                <w:rFonts w:ascii="仿宋_GB2312" w:hAnsi="仿宋_GB2312" w:cs="仿宋_GB2312" w:eastAsia="仿宋_GB2312"/>
                <w:sz w:val="20"/>
                <w:b/>
              </w:rPr>
              <w:t>四、施工要求</w:t>
            </w:r>
          </w:p>
          <w:p>
            <w:pPr>
              <w:pStyle w:val="null3"/>
              <w:ind w:firstLine="400"/>
              <w:jc w:val="both"/>
            </w:pPr>
            <w:r>
              <w:rPr>
                <w:rFonts w:ascii="仿宋_GB2312" w:hAnsi="仿宋_GB2312" w:cs="仿宋_GB2312" w:eastAsia="仿宋_GB2312"/>
                <w:sz w:val="20"/>
              </w:rPr>
              <w:t>1.需严格遵循行业规程，地层划分准确，清表工作完整，无遗漏、无破坏。</w:t>
            </w:r>
          </w:p>
          <w:p>
            <w:pPr>
              <w:pStyle w:val="null3"/>
              <w:ind w:firstLine="400"/>
              <w:jc w:val="both"/>
            </w:pPr>
            <w:r>
              <w:rPr>
                <w:rFonts w:ascii="仿宋_GB2312" w:hAnsi="仿宋_GB2312" w:cs="仿宋_GB2312" w:eastAsia="仿宋_GB2312"/>
                <w:sz w:val="20"/>
              </w:rPr>
              <w:t>2.所有记录资料、图纸、影像需规范归档，编号统一，内容对应，能够完整反映全过程及成果；</w:t>
            </w:r>
          </w:p>
          <w:p>
            <w:pPr>
              <w:pStyle w:val="null3"/>
              <w:ind w:firstLine="400"/>
              <w:jc w:val="both"/>
            </w:pPr>
            <w:r>
              <w:rPr>
                <w:rFonts w:ascii="仿宋_GB2312" w:hAnsi="仿宋_GB2312" w:cs="仿宋_GB2312" w:eastAsia="仿宋_GB2312"/>
                <w:sz w:val="20"/>
              </w:rPr>
              <w:t>3.工作报告需符合行业编制规范，内容涵盖项目概况、清表过程等，经采购人组织专家评审合格后方可正式交付。</w:t>
            </w:r>
          </w:p>
          <w:p>
            <w:pPr>
              <w:pStyle w:val="null3"/>
              <w:ind w:firstLine="400"/>
              <w:jc w:val="both"/>
            </w:pPr>
            <w:r>
              <w:rPr>
                <w:rFonts w:ascii="仿宋_GB2312" w:hAnsi="仿宋_GB2312" w:cs="仿宋_GB2312" w:eastAsia="仿宋_GB2312"/>
                <w:sz w:val="20"/>
              </w:rPr>
              <w:t>4.在施工期间，成交供应商必须注意人员安全，加强安全措施，并对施工人员进行安全教育，施工人员必须持证上岗。</w:t>
            </w:r>
          </w:p>
          <w:p>
            <w:pPr>
              <w:pStyle w:val="null3"/>
              <w:ind w:firstLine="400"/>
              <w:jc w:val="both"/>
            </w:pPr>
            <w:r>
              <w:rPr>
                <w:rFonts w:ascii="仿宋_GB2312" w:hAnsi="仿宋_GB2312" w:cs="仿宋_GB2312" w:eastAsia="仿宋_GB2312"/>
                <w:sz w:val="20"/>
              </w:rPr>
              <w:t>5.供应商根据工程实际情况编制施工方案，制定工期进度安排表。</w:t>
            </w:r>
          </w:p>
          <w:p>
            <w:pPr>
              <w:pStyle w:val="null3"/>
              <w:ind w:firstLine="400"/>
              <w:jc w:val="both"/>
            </w:pPr>
            <w:r>
              <w:rPr>
                <w:rFonts w:ascii="仿宋_GB2312" w:hAnsi="仿宋_GB2312" w:cs="仿宋_GB2312" w:eastAsia="仿宋_GB2312"/>
                <w:sz w:val="20"/>
              </w:rPr>
              <w:t>6.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00"/>
              <w:jc w:val="both"/>
            </w:pPr>
            <w:r>
              <w:rPr>
                <w:rFonts w:ascii="仿宋_GB2312" w:hAnsi="仿宋_GB2312" w:cs="仿宋_GB2312" w:eastAsia="仿宋_GB2312"/>
                <w:sz w:val="20"/>
              </w:rPr>
              <w:t>7.施工过程中，严格遵守建设单位的各种管理规定及规章制度，做到文明施工。发生工伤及意外事故由施工单位负责。</w:t>
            </w:r>
          </w:p>
          <w:p>
            <w:pPr>
              <w:pStyle w:val="null3"/>
              <w:ind w:firstLine="400"/>
              <w:jc w:val="both"/>
            </w:pPr>
            <w:r>
              <w:rPr>
                <w:rFonts w:ascii="仿宋_GB2312" w:hAnsi="仿宋_GB2312" w:cs="仿宋_GB2312" w:eastAsia="仿宋_GB2312"/>
                <w:sz w:val="20"/>
              </w:rPr>
              <w:t>8.严格按照国家和省上有关规定施工、规范施工，确保工程合格，如有更改须事先征得有关方面的同意，并在采购人落实后实施，并出具书面说明。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0"/>
                <w:b/>
              </w:rPr>
              <w:t>五、商务要求（如合同价款及结算方式等）</w:t>
            </w:r>
          </w:p>
          <w:p>
            <w:pPr>
              <w:pStyle w:val="null3"/>
              <w:jc w:val="both"/>
            </w:pPr>
            <w:r>
              <w:rPr>
                <w:rFonts w:ascii="仿宋_GB2312" w:hAnsi="仿宋_GB2312" w:cs="仿宋_GB2312" w:eastAsia="仿宋_GB2312"/>
                <w:sz w:val="20"/>
              </w:rPr>
              <w:t>款项结算：</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付款条件说明：合同签订后</w:t>
            </w:r>
            <w:r>
              <w:rPr>
                <w:rFonts w:ascii="仿宋_GB2312" w:hAnsi="仿宋_GB2312" w:cs="仿宋_GB2312" w:eastAsia="仿宋_GB2312"/>
                <w:sz w:val="20"/>
              </w:rPr>
              <w:t>，达到付款条件起</w:t>
            </w:r>
            <w:r>
              <w:rPr>
                <w:rFonts w:ascii="仿宋_GB2312" w:hAnsi="仿宋_GB2312" w:cs="仿宋_GB2312" w:eastAsia="仿宋_GB2312"/>
                <w:sz w:val="20"/>
              </w:rPr>
              <w:t>15日内，支付合同总金额的40.00%。</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付款条件说明：工程竣工验收合格后</w:t>
            </w:r>
            <w:r>
              <w:rPr>
                <w:rFonts w:ascii="仿宋_GB2312" w:hAnsi="仿宋_GB2312" w:cs="仿宋_GB2312" w:eastAsia="仿宋_GB2312"/>
                <w:sz w:val="20"/>
              </w:rPr>
              <w:t>，达到付款条件起</w:t>
            </w:r>
            <w:r>
              <w:rPr>
                <w:rFonts w:ascii="仿宋_GB2312" w:hAnsi="仿宋_GB2312" w:cs="仿宋_GB2312" w:eastAsia="仿宋_GB2312"/>
                <w:sz w:val="20"/>
              </w:rPr>
              <w:t>15日内，支付合同总金额的60.00%。</w:t>
            </w:r>
          </w:p>
          <w:p>
            <w:pPr>
              <w:pStyle w:val="null3"/>
              <w:jc w:val="both"/>
            </w:pPr>
            <w:r>
              <w:rPr>
                <w:rFonts w:ascii="仿宋_GB2312" w:hAnsi="仿宋_GB2312" w:cs="仿宋_GB2312" w:eastAsia="仿宋_GB2312"/>
                <w:sz w:val="20"/>
                <w:b/>
              </w:rPr>
              <w:t>六、本项目需要落实的政府采购政策</w:t>
            </w:r>
          </w:p>
          <w:p>
            <w:pPr>
              <w:pStyle w:val="null3"/>
              <w:ind w:firstLine="400"/>
              <w:jc w:val="both"/>
            </w:pPr>
            <w:r>
              <w:rPr>
                <w:rFonts w:ascii="仿宋_GB2312" w:hAnsi="仿宋_GB2312" w:cs="仿宋_GB2312" w:eastAsia="仿宋_GB2312"/>
              </w:rPr>
              <w:t>1.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pPr>
              <w:pStyle w:val="null3"/>
              <w:ind w:firstLine="400"/>
              <w:jc w:val="both"/>
            </w:pPr>
            <w:r>
              <w:rPr>
                <w:rFonts w:ascii="仿宋_GB2312" w:hAnsi="仿宋_GB2312" w:cs="仿宋_GB2312" w:eastAsia="仿宋_GB2312"/>
              </w:rPr>
              <w:t>2.绿色发展政策：《国务院办公厅关于建立政府强制采购节能产品制度的通知》（国办发〔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pPr>
              <w:pStyle w:val="null3"/>
              <w:ind w:firstLine="400"/>
              <w:jc w:val="both"/>
            </w:pPr>
            <w:r>
              <w:rPr>
                <w:rFonts w:ascii="仿宋_GB2312" w:hAnsi="仿宋_GB2312" w:cs="仿宋_GB2312" w:eastAsia="仿宋_GB2312"/>
              </w:rPr>
              <w:t>3.支持本国产业政策：《财政部关于印发&lt;进口产品管理办法&gt;的通知》（财库〔2007〕119号）；《财政部办公厅关于政府采购进口产品管理有关问题的通知》（财办库〔2008〕248号）。</w:t>
            </w:r>
          </w:p>
          <w:p>
            <w:pPr>
              <w:pStyle w:val="null3"/>
            </w:pPr>
            <w:r>
              <w:rPr>
                <w:rFonts w:ascii="仿宋_GB2312" w:hAnsi="仿宋_GB2312" w:cs="仿宋_GB2312" w:eastAsia="仿宋_GB2312"/>
              </w:rPr>
              <w:t xml:space="preserve">    4.支持创新等政府采购政策。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甲方和用地单位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三、供应商的磋商报价包括施工设备费、人工费、管理费、材料与设备费保险费、采购代理服务费、造价咨询服务费、税金、利润、风险、责任等所有费用，并符合建设工程计价规则。已标价工程量清单应当按照采购文件中规定的暂列金额、专业工程暂估价、材料设备暂估价进行报价，否则将按无效响应处理。 四、磋商有效期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评审过程中，合格供应商少于3家时，采购人应依法重新组织采购活动。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八、签名是指手写签名或者加盖名章（含电子），盖章是指加盖单位印章。 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十、本项目资格审查小组由采购人代表和采购代理机构工作人员组成。 十一、最终报价如出现异常低价，执行财库〔2026〕2号《关于推动解决政府采购异常低价问题的通知》，磋商小组可在最后报价审查表中审核是否通过审查。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被授权代表的参保缴费证明； （3）供应商提供的投标（响应）函； （4）供应商不得被列入“信用中国”网站（https://www.creditchina.gov.cn/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资格证明部分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资格证明部分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（1）供应商须具备建设部门颁发的建筑工程施工总承包叁级及以上资质；具备有效的安全生产许可证； （2）拟派项目经理须具有在本单位注册的建筑工程专业二级及以上注册建造师证书和有效的安全生产考核合格证书（B证），并提供未担任其他在建工程项目经理和无不良记录承诺； （3）供应商基本信息及项目经理的基本信息在“陕西省住房和城乡建设厅（http://js.shaanxi.gov.cn/)”可查询。</w:t>
            </w:r>
          </w:p>
        </w:tc>
        <w:tc>
          <w:tcPr>
            <w:tcW w:type="dxa" w:w="1661"/>
          </w:tcPr>
          <w:p>
            <w:pPr>
              <w:pStyle w:val="null3"/>
            </w:pPr>
            <w:r>
              <w:rPr>
                <w:rFonts w:ascii="仿宋_GB2312" w:hAnsi="仿宋_GB2312" w:cs="仿宋_GB2312" w:eastAsia="仿宋_GB2312"/>
              </w:rPr>
              <w:t>资格证明部分</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w:t>
            </w:r>
          </w:p>
        </w:tc>
        <w:tc>
          <w:tcPr>
            <w:tcW w:type="dxa" w:w="1661"/>
          </w:tcPr>
          <w:p>
            <w:pPr>
              <w:pStyle w:val="null3"/>
            </w:pPr>
            <w:r>
              <w:rPr>
                <w:rFonts w:ascii="仿宋_GB2312" w:hAnsi="仿宋_GB2312" w:cs="仿宋_GB2312" w:eastAsia="仿宋_GB2312"/>
              </w:rPr>
              <w:t>已标价工程量清单 报价函 商务技术部分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已标价工程量清单 中小企业声明函 资格证明部分 强制优先采购产品承诺函 响应文件封面 项目管理机构组成表 残疾人福利性单位声明函 报价函 商务技术部分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中小企业声明函 资格证明部分 强制优先采购产品承诺函 响应文件封面 项目管理机构组成表 残疾人福利性单位声明函 报价函 商务技术部分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商务技术部分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已标价工程量清单 中小企业声明函 强制优先采购产品承诺函 响应文件封面 项目管理机构组成表 残疾人福利性单位声明函 报价函 商务技术部分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报价函 商务技术部分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报价函 商务技术部分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商务技术部分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根据响应程度赋0-8分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根据响应程度赋0-8分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根据响应程度赋0-6分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根据响应程度赋0-6分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根据响应程度赋0-6分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根据响应程度赋0-6分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根据响应程度赋0-6分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根据响应程度赋0-4分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根据响应程度赋0-4分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针对本工程具体可行并符合国家相关保修规范的售后服务承诺。根据其相应程度得0-6分。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具有2022年1月1日至今的类似业绩（以合同签订日期为准），业绩以合同复印件。每个业绩计2分，5个以上（含5个）计10分。未提供计0分。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商务技术部分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w:t>
      </w:r>
    </w:p>
    <w:p>
      <w:pPr>
        <w:pStyle w:val="null3"/>
        <w:ind w:firstLine="960"/>
      </w:pPr>
      <w:r>
        <w:rPr>
          <w:rFonts w:ascii="仿宋_GB2312" w:hAnsi="仿宋_GB2312" w:cs="仿宋_GB2312" w:eastAsia="仿宋_GB2312"/>
        </w:rPr>
        <w:t>详见附件：资格证明部分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