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版本号：SXLX26-02-018Z(F)20260320001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办公房屋租赁（西院）项目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SXLX26-02-018Z(F)</w:t>
      </w:r>
      <w:r>
        <w:br/>
      </w:r>
      <w:r>
        <w:br/>
      </w:r>
      <w:r>
        <w:br/>
      </w:r>
    </w:p>
    <w:p>
      <w:pPr>
        <w:pStyle w:val="null3"/>
        <w:jc w:val="center"/>
        <w:outlineLvl w:val="5"/>
      </w:pPr>
      <w:r>
        <w:rPr>
          <w:rFonts w:ascii="仿宋_GB2312" w:hAnsi="仿宋_GB2312" w:cs="仿宋_GB2312" w:eastAsia="仿宋_GB2312"/>
          <w:sz w:val="15"/>
          <w:b/>
        </w:rPr>
        <w:t>西安市碑林区长乐坊社区卫生服务中心</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西安市碑林区长乐坊社区卫生服务中心</w:t>
      </w:r>
      <w:r>
        <w:rPr>
          <w:rFonts w:ascii="仿宋_GB2312" w:hAnsi="仿宋_GB2312" w:cs="仿宋_GB2312" w:eastAsia="仿宋_GB2312"/>
        </w:rPr>
        <w:t>委托，拟对</w:t>
      </w:r>
      <w:r>
        <w:rPr>
          <w:rFonts w:ascii="仿宋_GB2312" w:hAnsi="仿宋_GB2312" w:cs="仿宋_GB2312" w:eastAsia="仿宋_GB2312"/>
        </w:rPr>
        <w:t>办公房屋租赁（西院）项目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SXLX26-02-018Z(F)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办公房屋租赁（西院）项目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西安市碑林区长乐坊社区卫生服务中心办公房屋租赁（西院）项目，该房屋坐落于西安市碑林区炮房街51号罔极寺西隔壁，面积455平方米。该房屋租赁用于基本公共卫生服务、基本医疗等办公使用。</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采购包1（办公房屋租赁（西院）项目）：属于专门面向小微企业采购。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西安市碑林区长乐坊社区卫生服务中心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029-82499988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代理服务费收费标准：采购代理服务费依据《国家发展改革委关于进一步放开建设项目专业服务价格的通知》（发改价格〔2015〕299号）文件规定标准计算收取7500元整。 请将采购代理服务费汇至下列指定账户： 开户名称：陕西隆信项目管理有限公司 开 户 行：招商银行股份有限公司西安土门支行 账 号：129904064810902 财务部电话：029-88489979-8501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西安市碑林区长乐坊社区卫生服务中心</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西安市碑林区长乐坊社区卫生服务中心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国家、陕西省、西安市颁布的有关规范要求、行业标准及采购人要求。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西安市碑林区长乐坊社区卫生服务中心办公房屋租赁（西院）项目，该房屋坐落于西安市碑林区炮房街51号罔极寺西隔壁，面积455平方米。该房屋租赁用于基本公共卫生服务、基本医疗等办公使用。</w:t>
      </w:r>
    </w:p>
    <w:p>
      <w:pPr>
        <w:pStyle w:val="null3"/>
      </w:pPr>
      <w:r>
        <w:rPr>
          <w:rFonts w:ascii="仿宋_GB2312" w:hAnsi="仿宋_GB2312" w:cs="仿宋_GB2312" w:eastAsia="仿宋_GB2312"/>
          <w:b/>
        </w:rPr>
        <w:t>本项目所属行业为物业管理。</w:t>
      </w:r>
      <w:r>
        <w:rPr>
          <w:rFonts w:ascii="仿宋_GB2312" w:hAnsi="仿宋_GB2312" w:cs="仿宋_GB2312" w:eastAsia="仿宋_GB2312"/>
        </w:rPr>
        <w:t>（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办公房屋租赁（西院）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标的名称：办公房屋租赁（西院）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pPr>
            <w:r>
              <w:rPr>
                <w:rFonts w:ascii="仿宋_GB2312" w:hAnsi="仿宋_GB2312" w:cs="仿宋_GB2312" w:eastAsia="仿宋_GB2312"/>
                <w:sz w:val="21"/>
                <w:b/>
                <w:color w:val="000000"/>
              </w:rPr>
              <w:t>一、项目概况</w:t>
            </w:r>
          </w:p>
          <w:p>
            <w:pPr>
              <w:pStyle w:val="null3"/>
              <w:ind w:firstLine="420"/>
              <w:jc w:val="left"/>
            </w:pPr>
            <w:r>
              <w:rPr>
                <w:rFonts w:ascii="仿宋_GB2312" w:hAnsi="仿宋_GB2312" w:cs="仿宋_GB2312" w:eastAsia="仿宋_GB2312"/>
                <w:sz w:val="21"/>
                <w:color w:val="000000"/>
              </w:rPr>
              <w:t>西安市碑林区长乐坊社区卫生服务中心办公房屋租赁（西院）项目，该房屋坐落于西安市碑林区炮房街</w:t>
            </w:r>
            <w:r>
              <w:rPr>
                <w:rFonts w:ascii="仿宋_GB2312" w:hAnsi="仿宋_GB2312" w:cs="仿宋_GB2312" w:eastAsia="仿宋_GB2312"/>
                <w:sz w:val="21"/>
                <w:color w:val="000000"/>
              </w:rPr>
              <w:t>51号罔极寺西隔壁，面积455平方米。该房屋租赁用于基本公共卫生服务、基本医疗等办公使用。</w:t>
            </w:r>
          </w:p>
          <w:p>
            <w:pPr>
              <w:pStyle w:val="null3"/>
              <w:jc w:val="left"/>
            </w:pPr>
            <w:r>
              <w:rPr>
                <w:rFonts w:ascii="仿宋_GB2312" w:hAnsi="仿宋_GB2312" w:cs="仿宋_GB2312" w:eastAsia="仿宋_GB2312"/>
                <w:sz w:val="21"/>
                <w:b/>
                <w:color w:val="000000"/>
              </w:rPr>
              <w:t>二、技术条款（服务内容：包括工作区域、工作内容等）</w:t>
            </w:r>
          </w:p>
          <w:p>
            <w:pPr>
              <w:pStyle w:val="null3"/>
              <w:ind w:firstLine="420"/>
              <w:jc w:val="both"/>
            </w:pPr>
            <w:r>
              <w:rPr>
                <w:rFonts w:ascii="仿宋_GB2312" w:hAnsi="仿宋_GB2312" w:cs="仿宋_GB2312" w:eastAsia="仿宋_GB2312"/>
                <w:sz w:val="21"/>
              </w:rPr>
              <w:t>1.供应商负责房屋主体结构与框架的维修，不包含采购人装修部分。</w:t>
            </w:r>
          </w:p>
          <w:p>
            <w:pPr>
              <w:pStyle w:val="null3"/>
              <w:ind w:firstLine="420"/>
              <w:jc w:val="both"/>
            </w:pPr>
            <w:r>
              <w:rPr>
                <w:rFonts w:ascii="仿宋_GB2312" w:hAnsi="仿宋_GB2312" w:cs="仿宋_GB2312" w:eastAsia="仿宋_GB2312"/>
                <w:sz w:val="21"/>
              </w:rPr>
              <w:t>2.供应商负责协调租赁房屋周边相关事宜。</w:t>
            </w:r>
          </w:p>
          <w:p>
            <w:pPr>
              <w:pStyle w:val="null3"/>
              <w:ind w:firstLine="420"/>
              <w:jc w:val="both"/>
            </w:pPr>
            <w:r>
              <w:rPr>
                <w:rFonts w:ascii="仿宋_GB2312" w:hAnsi="仿宋_GB2312" w:cs="仿宋_GB2312" w:eastAsia="仿宋_GB2312"/>
                <w:sz w:val="21"/>
              </w:rPr>
              <w:t>3.供应商提供的办公场所无产权纠纷，办公场所面积应满足所需面积。</w:t>
            </w:r>
          </w:p>
          <w:p>
            <w:pPr>
              <w:pStyle w:val="null3"/>
              <w:ind w:firstLine="420"/>
              <w:jc w:val="both"/>
            </w:pPr>
            <w:r>
              <w:rPr>
                <w:rFonts w:ascii="仿宋_GB2312" w:hAnsi="仿宋_GB2312" w:cs="仿宋_GB2312" w:eastAsia="仿宋_GB2312"/>
                <w:sz w:val="21"/>
              </w:rPr>
              <w:t>4.供应商需按房屋设计将水、照明用电、消防、烟感报警等设施安装到位；供水、供电、供气等基础设施配套齐全；保证日常及节假日的供电、供水、排污、排水及卫生设施处于适用状态，</w:t>
            </w:r>
            <w:r>
              <w:rPr>
                <w:rFonts w:ascii="仿宋_GB2312" w:hAnsi="仿宋_GB2312" w:cs="仿宋_GB2312" w:eastAsia="仿宋_GB2312"/>
                <w:sz w:val="21"/>
              </w:rPr>
              <w:t>满足采购人日常办公需求。</w:t>
            </w:r>
          </w:p>
          <w:p>
            <w:pPr>
              <w:pStyle w:val="null3"/>
              <w:ind w:firstLine="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提供标准用水、用电，按规范提供生活垃圾处理（甲方需承担相应的垃圾清运费用）等物业服务。</w:t>
            </w:r>
            <w:r>
              <w:rPr>
                <w:rFonts w:ascii="仿宋_GB2312" w:hAnsi="仿宋_GB2312" w:cs="仿宋_GB2312" w:eastAsia="仿宋_GB2312"/>
                <w:sz w:val="21"/>
                <w:color w:val="000000"/>
              </w:rPr>
              <w:t>租赁期间供应商应对出租房屋内部（涉及物业公司应管理的事项及应属供应商负责的）外部有关设施进行定期检查，出现问题及时维修，保证租赁期内上下水、照明线路等各类设施的正常使用。</w:t>
            </w:r>
          </w:p>
          <w:p>
            <w:pPr>
              <w:pStyle w:val="null3"/>
              <w:ind w:firstLine="420"/>
              <w:jc w:val="both"/>
            </w:pPr>
            <w:r>
              <w:rPr>
                <w:rFonts w:ascii="仿宋_GB2312" w:hAnsi="仿宋_GB2312" w:cs="仿宋_GB2312" w:eastAsia="仿宋_GB2312"/>
                <w:sz w:val="21"/>
              </w:rPr>
              <w:t>6.房屋在出租前，符合国家关于建筑、治安、室内空气质量等安全规定和标准。</w:t>
            </w:r>
          </w:p>
          <w:p>
            <w:pPr>
              <w:pStyle w:val="null3"/>
              <w:ind w:firstLine="420"/>
              <w:jc w:val="both"/>
            </w:pPr>
            <w:r>
              <w:rPr>
                <w:rFonts w:ascii="仿宋_GB2312" w:hAnsi="仿宋_GB2312" w:cs="仿宋_GB2312" w:eastAsia="仿宋_GB2312"/>
                <w:sz w:val="21"/>
              </w:rPr>
              <w:t>7.房屋及其附属设施在交付采购人时处于正常、安全可使用状态。</w:t>
            </w:r>
          </w:p>
          <w:p>
            <w:pPr>
              <w:pStyle w:val="null3"/>
              <w:ind w:firstLine="420"/>
              <w:jc w:val="both"/>
            </w:pPr>
            <w:r>
              <w:rPr>
                <w:rFonts w:ascii="仿宋_GB2312" w:hAnsi="仿宋_GB2312" w:cs="仿宋_GB2312" w:eastAsia="仿宋_GB2312"/>
                <w:sz w:val="21"/>
              </w:rPr>
              <w:t>8.供应商负责出租房屋正常使用时的主体结构和出租房屋以外的用电线路等各类设施的维修保养。</w:t>
            </w:r>
          </w:p>
          <w:p>
            <w:pPr>
              <w:pStyle w:val="null3"/>
              <w:ind w:firstLine="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租赁期内如遇房屋拆迁，</w:t>
            </w:r>
            <w:r>
              <w:rPr>
                <w:rFonts w:ascii="仿宋_GB2312" w:hAnsi="仿宋_GB2312" w:cs="仿宋_GB2312" w:eastAsia="仿宋_GB2312"/>
                <w:sz w:val="21"/>
                <w:color w:val="000000"/>
              </w:rPr>
              <w:t>供应商应</w:t>
            </w:r>
            <w:r>
              <w:rPr>
                <w:rFonts w:ascii="仿宋_GB2312" w:hAnsi="仿宋_GB2312" w:cs="仿宋_GB2312" w:eastAsia="仿宋_GB2312"/>
                <w:sz w:val="21"/>
                <w:color w:val="000000"/>
              </w:rPr>
              <w:t>提前三个月通知</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接受项目行业管理部门及政府有关部门的指导，接受</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监督。</w:t>
            </w:r>
          </w:p>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商务条款</w:t>
            </w:r>
          </w:p>
          <w:p>
            <w:pPr>
              <w:pStyle w:val="null3"/>
              <w:ind w:firstLine="420"/>
              <w:jc w:val="left"/>
            </w:pPr>
            <w:r>
              <w:rPr>
                <w:rFonts w:ascii="仿宋_GB2312" w:hAnsi="仿宋_GB2312" w:cs="仿宋_GB2312" w:eastAsia="仿宋_GB2312"/>
                <w:sz w:val="21"/>
              </w:rPr>
              <w:t>本项目预算年限为</w:t>
            </w:r>
            <w:r>
              <w:rPr>
                <w:rFonts w:ascii="仿宋_GB2312" w:hAnsi="仿宋_GB2312" w:cs="仿宋_GB2312" w:eastAsia="仿宋_GB2312"/>
                <w:sz w:val="21"/>
              </w:rPr>
              <w:t>1年，招标期限为2年，</w:t>
            </w:r>
            <w:r>
              <w:rPr>
                <w:rFonts w:ascii="仿宋_GB2312" w:hAnsi="仿宋_GB2312" w:cs="仿宋_GB2312" w:eastAsia="仿宋_GB2312"/>
                <w:sz w:val="21"/>
              </w:rPr>
              <w:t>服务期限满</w:t>
            </w:r>
            <w:r>
              <w:rPr>
                <w:rFonts w:ascii="仿宋_GB2312" w:hAnsi="仿宋_GB2312" w:cs="仿宋_GB2312" w:eastAsia="仿宋_GB2312"/>
                <w:sz w:val="21"/>
              </w:rPr>
              <w:t>1年后，经采购人确认，供应商的服务内容和质量符合要求，且双方无异议，可自动续签下一年合同，合同约定的内容不变，如供应商的服务内容或服务质量不符合采购人要求且整改之后仍不符合采购人要求，采购人有权终止合同。</w:t>
            </w:r>
          </w:p>
          <w:p>
            <w:pPr>
              <w:pStyle w:val="null3"/>
              <w:jc w:val="left"/>
            </w:pPr>
            <w:r>
              <w:rPr>
                <w:rFonts w:ascii="仿宋_GB2312" w:hAnsi="仿宋_GB2312" w:cs="仿宋_GB2312" w:eastAsia="仿宋_GB2312"/>
                <w:sz w:val="21"/>
                <w:b/>
                <w:color w:val="000000"/>
              </w:rPr>
              <w:t>四、本项目需要落实的政府采购政策</w:t>
            </w:r>
          </w:p>
          <w:p>
            <w:pPr>
              <w:pStyle w:val="null3"/>
              <w:ind w:firstLine="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中小企业发展政策：《关于进一步加大政府采购支持中小企业力度的通知》（财库〔</w:t>
            </w:r>
            <w:r>
              <w:rPr>
                <w:rFonts w:ascii="仿宋_GB2312" w:hAnsi="仿宋_GB2312" w:cs="仿宋_GB2312" w:eastAsia="仿宋_GB2312"/>
                <w:sz w:val="21"/>
                <w:color w:val="000000"/>
              </w:rPr>
              <w:t>2022〕19号）《政府采购促进中小企业发展管理办法》（财库〔2020〕46号）；《财政部、司法部关于政府采购支持监狱企业发展有关问题的通知》（财库〔2014〕68号）；《关于促进残疾人就业政府采购政策的通知》（财库〔2017〕141号）；《陕西省中小企业政府采购信用融资办法》（陕财办采〔2018〕23号）。</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绿色发展政策：《国务院办公厅关于建立政府强制采购节能产品制度的通知》（国办发〔</w:t>
            </w:r>
            <w:r>
              <w:rPr>
                <w:rFonts w:ascii="仿宋_GB2312" w:hAnsi="仿宋_GB2312" w:cs="仿宋_GB2312" w:eastAsia="仿宋_GB2312"/>
                <w:sz w:val="21"/>
                <w:color w:val="000000"/>
              </w:rPr>
              <w:t>2007〕51号）；《关于印发环境标志产品政府采购品目清单的通知》（财库〔2019〕18号）《关于印发节能产品政府采购品目清单的通知》（财库〔2019〕19号）；《财政部、国家发展改革委、生态环境部、市场监管总局关于调整优化节能产品、环境标志产品政府采购执行机制的通知》（财库〔2019〕9号）；《商品包装政府采购需求标准（试行）》和《快递包装政府采购需求标准（试行）》（财办库〔2020〕123号）。</w:t>
            </w:r>
          </w:p>
          <w:p>
            <w:pPr>
              <w:pStyle w:val="null3"/>
              <w:ind w:firstLine="420"/>
              <w:jc w:val="left"/>
            </w:pPr>
            <w:r>
              <w:rPr>
                <w:rFonts w:ascii="仿宋_GB2312" w:hAnsi="仿宋_GB2312" w:cs="仿宋_GB2312" w:eastAsia="仿宋_GB2312"/>
                <w:sz w:val="21"/>
                <w:color w:val="000000"/>
              </w:rPr>
              <w:t>3.支持本国产业政策：《国务院办公厅关于在政府采购中实施本国产品标准及相关政策的通知》（国办发〔2025〕34号）；《财政部、工业和信息化部关于贯彻落实国务院办公厅关于在政府采购中实施本国产品标准及相关政策的通知》的意见（财库〔2025〕30号）《财政部关于印发&lt;进口产品管理办法&gt;的通知》（财库〔2007〕119号）；《财政部办公厅关于政府采购进口产品管理有关问题的通知》（财办库〔2008〕248号）。</w:t>
            </w:r>
          </w:p>
          <w:p>
            <w:pPr>
              <w:pStyle w:val="null3"/>
            </w:pP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支持创新等政府采购政策。</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按项目服务要求及特性，自行组织实施与管理，相关人员经过严格培训，能够胜任项目工作，保证房屋租赁期间日常房屋条件满足日常办公活动需求。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根据项目特性，自行配置投入有利于完成本项目服务各类设施设备（不限于水、电、气配套设施完善、专业设备、辅助设备等），保证房屋租赁期间房屋条件满足日常办公活动需求。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自合同签订之日起1年，具体时间以合同签订为准。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西安市碑林区炮房街51号罔极寺西隔壁。</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国家、陕西省、西安市颁布的有关规范要求、行业标准及采购人要求。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2025年1月至今任意时段在本单位注册的已缴纳的社会保障资金缴存单据或社保机构开具的社会保险参保缴费情况证明；以上4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三、供应商的报价是供应商响应本项目要求的全部工作内容的价格体现，包括供应商完成本项目所需的直接费、间接费、利润、税金及其它相关的一切费用。包括但不限于：房屋租赁费、人工费、设备费、管理费、验收费、利润和税金等全部费用。在提供服务的过程中的任何遗漏，均由成交供应商免费提供，采购人将不再支付任何费用。 四、协商有效期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五、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七、签名是指手写签名或者加盖名章(含电子签名或电子印章)，盖章是指加盖单位印章。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协商的，提供本人身份证复印件；法定代表人（单位负责人）授权他人参加协商的，提供法定代表人（单位负责人）委托授权书及被授权代表的身份证复印件；按照电子化全流程要求，投标（响应）文件递交时，签到的人员信息应为法定代表人或授权委托人；（3）供应商提供的投标（响应）函；（4）采购代理机构将于本项目磋商文件递交截止日在“信用中国”“中国执行信息公开网”“中国政府采购网”对供应商进行信用记录查询。对列入失信被执行人，或列入重大税收违法失信主体，或处于“政府采购严重违法失信行为信息记录”中的禁止参加政府采购活动期间对列入的供应商，将拒绝其参与政府采购活动。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本采购包专门面向小微企业采购</w:t>
            </w:r>
          </w:p>
        </w:tc>
        <w:tc>
          <w:tcPr>
            <w:tcW w:type="dxa" w:w="3322"/>
          </w:tcPr>
          <w:p>
            <w:pPr>
              <w:pStyle w:val="null3"/>
            </w:pPr>
            <w:r>
              <w:rPr>
                <w:rFonts w:ascii="仿宋_GB2312" w:hAnsi="仿宋_GB2312" w:cs="仿宋_GB2312" w:eastAsia="仿宋_GB2312"/>
              </w:rPr>
              <w:t>供应商应为小微企业或者为残疾人福利性单位或者为监狱企业。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商务技术文件.docx 标的清单 报价表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协商过程中，协商小组认为供应商报价明显低于其他通过符合性审查供应商的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响应文件中不存在采购文件规定的无效情形。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