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版本号：SXGL-2026-002G20260410001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碑林区7座公厕设计改造提升工程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SXGL-2026-002G</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陕西亘立项目管理有限公司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陕西亘立项目管理有限公司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碑林区7座公厕设计改造提升工程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SXGL-2026-002G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碑林区7座公厕设计改造提升工程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本工程涉及 7 座公厕的提升改造工作，各公厕分布于辖区内人流量大的核心区域。其中四民巷建筑面积：47㎡、建西街建筑面积：89.6㎡、明胜路建筑面积：35.8㎡、德福巷建筑面积：51㎡、绛子巷建筑面积：134.5㎡、雁北路建筑面积：102㎡、安居巷建筑面积：81.5㎡。为提升现有公厕服务品质与使用体验，拟对上述公厕进行室外室内翻新改造。具体内容及要求详见采购需求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采购包1（碑林区7座公厕设计改造提升工程）：属于专门面向中小企业采购。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1、企业资质：具有建设部门颁发的建筑装修装饰工程专业承包二级及以上资质；具备有效的安全生产许可证；</w:t>
      </w:r>
    </w:p>
    <w:p>
      <w:pPr>
        <w:pStyle w:val="null3"/>
      </w:pPr>
      <w:r>
        <w:rPr>
          <w:rFonts w:ascii="仿宋_GB2312" w:hAnsi="仿宋_GB2312" w:cs="仿宋_GB2312" w:eastAsia="仿宋_GB2312"/>
        </w:rPr>
        <w:t>2、拟派项目经理资质：拟派项目经理具有建筑工程专业二级及以上注册建造师证，在本单位注册，具备有效的安全生产考核合格证书，且无在建工程；</w:t>
      </w:r>
    </w:p>
    <w:p>
      <w:pPr>
        <w:pStyle w:val="null3"/>
      </w:pPr>
      <w:r>
        <w:rPr>
          <w:rFonts w:ascii="仿宋_GB2312" w:hAnsi="仿宋_GB2312" w:cs="仿宋_GB2312" w:eastAsia="仿宋_GB2312"/>
        </w:rPr>
        <w:t>3、投标人及项目经理基本信息在“陕西省住房和城乡建设厅”和“全国建筑市场监管公共服务平台”（http://jzsc.mohurd.gov.cn/home）可查询；：投标人及项目经理基本信息在“陕西省住房和城乡建设厅”和“全国建筑市场监管公共服务平台”（http://jzsc.mohurd.gov.cn/home）可查询；</w:t>
      </w:r>
    </w:p>
    <w:p>
      <w:pPr>
        <w:pStyle w:val="null3"/>
      </w:pPr>
      <w:r>
        <w:rPr>
          <w:rFonts w:ascii="仿宋_GB2312" w:hAnsi="仿宋_GB2312" w:cs="仿宋_GB2312" w:eastAsia="仿宋_GB2312"/>
        </w:rPr>
        <w:t>4、信用信息：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闵港辉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029-62520411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西安市曲江新区杜陵西路中海曲江大城君尚府46幢10404号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赵阿香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18192742870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采购包1：1,300,506.17元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水嘴、便器（坐便器、蹲便器、小便器）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代理服务费收费标准：1、本项目代理服务费依据《关于招标代理服务收费有关问题的通知》（发改办价格[2003] 857号）及《国家计委关于印发&lt;招标代理服务收费管理暂行办法&gt;的通知》（计价格[2002]1980号）文件规定标准收取，以成交价作为取费基数。2、成交单位在领取成交通知书之前，须向采购代理机构支付招标代理服务费。 招标代理服务费以转账或现金形式缴纳至以下账户： 开户名称：陕西亘立项目管理有限公司 开户银行：西安银行股份有限公司西安友谊东路支行 账号：115011580000061434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陕西亘立项目管理有限公司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陕西亘立项目管理有限公司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陕西亘立项目管理有限公司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联系人：赵阿香</w:t>
      </w:r>
    </w:p>
    <w:p>
      <w:pPr>
        <w:pStyle w:val="null3"/>
      </w:pPr>
      <w:r>
        <w:rPr>
          <w:rFonts w:ascii="仿宋_GB2312" w:hAnsi="仿宋_GB2312" w:cs="仿宋_GB2312" w:eastAsia="仿宋_GB2312"/>
        </w:rPr>
        <w:t>联系电话：18192742870</w:t>
      </w:r>
    </w:p>
    <w:p>
      <w:pPr>
        <w:pStyle w:val="null3"/>
      </w:pPr>
      <w:r>
        <w:rPr>
          <w:rFonts w:ascii="仿宋_GB2312" w:hAnsi="仿宋_GB2312" w:cs="仿宋_GB2312" w:eastAsia="仿宋_GB2312"/>
        </w:rPr>
        <w:t>地址：西安市曲江新区杜陵西路中海曲江大城君尚府46幢10404号</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1,300,506.17</w:t>
      </w:r>
    </w:p>
    <w:p>
      <w:pPr>
        <w:pStyle w:val="null3"/>
      </w:pPr>
      <w:r>
        <w:rPr>
          <w:rFonts w:ascii="仿宋_GB2312" w:hAnsi="仿宋_GB2312" w:cs="仿宋_GB2312" w:eastAsia="仿宋_GB2312"/>
        </w:rPr>
        <w:t>采购包最高限价（元）: 1,300,506.17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碑林区7 座公厕设计改造提升工程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1,300,506.17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标的名称：碑林区7 座公厕设计改造提升工程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outlineLvl w:val="2"/>
            </w:pPr>
            <w:r>
              <w:rPr>
                <w:rFonts w:ascii="仿宋_GB2312" w:hAnsi="仿宋_GB2312" w:cs="仿宋_GB2312" w:eastAsia="仿宋_GB2312"/>
                <w:sz w:val="21"/>
                <w:b/>
              </w:rPr>
              <w:t>一、项目概况</w:t>
            </w:r>
          </w:p>
          <w:p>
            <w:pPr>
              <w:pStyle w:val="null3"/>
              <w:spacing w:before="120" w:after="120"/>
              <w:jc w:val="both"/>
              <w:outlineLvl w:val="2"/>
            </w:pPr>
            <w:r>
              <w:rPr>
                <w:rFonts w:ascii="仿宋_GB2312" w:hAnsi="仿宋_GB2312" w:cs="仿宋_GB2312" w:eastAsia="仿宋_GB2312"/>
                <w:sz w:val="21"/>
                <w:b/>
              </w:rPr>
              <w:t xml:space="preserve">  </w:t>
            </w:r>
            <w:r>
              <w:rPr>
                <w:rFonts w:ascii="仿宋_GB2312" w:hAnsi="仿宋_GB2312" w:cs="仿宋_GB2312" w:eastAsia="仿宋_GB2312"/>
                <w:sz w:val="21"/>
                <w:b/>
              </w:rPr>
              <w:t>本工程涉及</w:t>
            </w:r>
            <w:r>
              <w:rPr>
                <w:rFonts w:ascii="仿宋_GB2312" w:hAnsi="仿宋_GB2312" w:cs="仿宋_GB2312" w:eastAsia="仿宋_GB2312"/>
                <w:sz w:val="21"/>
                <w:b/>
              </w:rPr>
              <w:t xml:space="preserve">7 </w:t>
            </w:r>
            <w:r>
              <w:rPr>
                <w:rFonts w:ascii="仿宋_GB2312" w:hAnsi="仿宋_GB2312" w:cs="仿宋_GB2312" w:eastAsia="仿宋_GB2312"/>
                <w:sz w:val="21"/>
                <w:b/>
              </w:rPr>
              <w:t>座公厕的提升改造工作，各公厕分布于辖区内人流量大的核心区域。其中四民巷建筑面积：</w:t>
            </w:r>
            <w:r>
              <w:rPr>
                <w:rFonts w:ascii="仿宋_GB2312" w:hAnsi="仿宋_GB2312" w:cs="仿宋_GB2312" w:eastAsia="仿宋_GB2312"/>
                <w:sz w:val="21"/>
                <w:b/>
              </w:rPr>
              <w:t>47</w:t>
            </w:r>
            <w:r>
              <w:rPr>
                <w:rFonts w:ascii="仿宋_GB2312" w:hAnsi="仿宋_GB2312" w:cs="仿宋_GB2312" w:eastAsia="仿宋_GB2312"/>
                <w:sz w:val="21"/>
                <w:b/>
              </w:rPr>
              <w:t>㎡、建西街建筑面积：</w:t>
            </w:r>
            <w:r>
              <w:rPr>
                <w:rFonts w:ascii="仿宋_GB2312" w:hAnsi="仿宋_GB2312" w:cs="仿宋_GB2312" w:eastAsia="仿宋_GB2312"/>
                <w:sz w:val="21"/>
                <w:b/>
              </w:rPr>
              <w:t>89.6</w:t>
            </w:r>
            <w:r>
              <w:rPr>
                <w:rFonts w:ascii="仿宋_GB2312" w:hAnsi="仿宋_GB2312" w:cs="仿宋_GB2312" w:eastAsia="仿宋_GB2312"/>
                <w:sz w:val="21"/>
                <w:b/>
              </w:rPr>
              <w:t>㎡、明胜路建筑面积：</w:t>
            </w:r>
            <w:r>
              <w:rPr>
                <w:rFonts w:ascii="仿宋_GB2312" w:hAnsi="仿宋_GB2312" w:cs="仿宋_GB2312" w:eastAsia="仿宋_GB2312"/>
                <w:sz w:val="21"/>
                <w:b/>
              </w:rPr>
              <w:t>35.8</w:t>
            </w:r>
            <w:r>
              <w:rPr>
                <w:rFonts w:ascii="仿宋_GB2312" w:hAnsi="仿宋_GB2312" w:cs="仿宋_GB2312" w:eastAsia="仿宋_GB2312"/>
                <w:sz w:val="21"/>
                <w:b/>
              </w:rPr>
              <w:t>㎡、德福巷建筑面积：</w:t>
            </w:r>
            <w:r>
              <w:rPr>
                <w:rFonts w:ascii="仿宋_GB2312" w:hAnsi="仿宋_GB2312" w:cs="仿宋_GB2312" w:eastAsia="仿宋_GB2312"/>
                <w:sz w:val="21"/>
                <w:b/>
              </w:rPr>
              <w:t>51</w:t>
            </w:r>
            <w:r>
              <w:rPr>
                <w:rFonts w:ascii="仿宋_GB2312" w:hAnsi="仿宋_GB2312" w:cs="仿宋_GB2312" w:eastAsia="仿宋_GB2312"/>
                <w:sz w:val="21"/>
                <w:b/>
              </w:rPr>
              <w:t>㎡、绛子巷建筑面积：</w:t>
            </w:r>
            <w:r>
              <w:rPr>
                <w:rFonts w:ascii="仿宋_GB2312" w:hAnsi="仿宋_GB2312" w:cs="仿宋_GB2312" w:eastAsia="仿宋_GB2312"/>
                <w:sz w:val="21"/>
                <w:b/>
              </w:rPr>
              <w:t>134.5</w:t>
            </w:r>
            <w:r>
              <w:rPr>
                <w:rFonts w:ascii="仿宋_GB2312" w:hAnsi="仿宋_GB2312" w:cs="仿宋_GB2312" w:eastAsia="仿宋_GB2312"/>
                <w:sz w:val="21"/>
                <w:b/>
              </w:rPr>
              <w:t>㎡、雁北路建筑面积：</w:t>
            </w:r>
            <w:r>
              <w:rPr>
                <w:rFonts w:ascii="仿宋_GB2312" w:hAnsi="仿宋_GB2312" w:cs="仿宋_GB2312" w:eastAsia="仿宋_GB2312"/>
                <w:sz w:val="21"/>
                <w:b/>
              </w:rPr>
              <w:t>102</w:t>
            </w:r>
            <w:r>
              <w:rPr>
                <w:rFonts w:ascii="仿宋_GB2312" w:hAnsi="仿宋_GB2312" w:cs="仿宋_GB2312" w:eastAsia="仿宋_GB2312"/>
                <w:sz w:val="21"/>
                <w:b/>
              </w:rPr>
              <w:t>㎡、安居巷建筑面积：</w:t>
            </w:r>
            <w:r>
              <w:rPr>
                <w:rFonts w:ascii="仿宋_GB2312" w:hAnsi="仿宋_GB2312" w:cs="仿宋_GB2312" w:eastAsia="仿宋_GB2312"/>
                <w:sz w:val="21"/>
                <w:b/>
              </w:rPr>
              <w:t>81.5</w:t>
            </w:r>
            <w:r>
              <w:rPr>
                <w:rFonts w:ascii="仿宋_GB2312" w:hAnsi="仿宋_GB2312" w:cs="仿宋_GB2312" w:eastAsia="仿宋_GB2312"/>
                <w:sz w:val="21"/>
                <w:b/>
              </w:rPr>
              <w:t>㎡。为提升现有公厕服务品质与使用体验，拟对上述公厕进行室外室内翻新改造。具体内容及要求详见采购需求及工程量清单。</w:t>
            </w:r>
          </w:p>
          <w:p>
            <w:pPr>
              <w:pStyle w:val="null3"/>
              <w:spacing w:before="120" w:after="120"/>
              <w:jc w:val="both"/>
              <w:outlineLvl w:val="2"/>
            </w:pPr>
            <w:r>
              <w:rPr>
                <w:rFonts w:ascii="仿宋_GB2312" w:hAnsi="仿宋_GB2312" w:cs="仿宋_GB2312" w:eastAsia="仿宋_GB2312"/>
                <w:sz w:val="21"/>
                <w:b/>
              </w:rPr>
              <w:t>二、工程内容和施工地点、计划工期、缺陷责任期、质量保修期：</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工程内容：改造内容围绕室外空间、室内空间及内部设施三大核心板块展开：室外方面，主要进行标识灯箱更换、门窗及防护设施更新、外立面翻新、防水防渗处理、排水优化、景观美化及无障碍设施完善等，保障建筑安全与外观整洁；室内方面，拆除老旧装修及设施，重新进行墙地砖铺贴、吊顶安装、防水工程施工，彻底改造老化水电系统，更换卫生间隔断，优化空间布局与使用安全性；内部设施方面，全面更新灯具、洁具、五金件、换气扇、灭蝇灯等设备，新增或更换洗手台及干手设备，完善标识标牌，部分公厕配备智能感应洁具或专用储物设施，提升使用便捷性与舒适度。</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 xml:space="preserve">工程地点：本工程涉及 </w:t>
            </w:r>
            <w:r>
              <w:rPr>
                <w:rFonts w:ascii="仿宋_GB2312" w:hAnsi="仿宋_GB2312" w:cs="仿宋_GB2312" w:eastAsia="仿宋_GB2312"/>
                <w:sz w:val="21"/>
                <w:b/>
              </w:rPr>
              <w:t xml:space="preserve">7 </w:t>
            </w:r>
            <w:r>
              <w:rPr>
                <w:rFonts w:ascii="仿宋_GB2312" w:hAnsi="仿宋_GB2312" w:cs="仿宋_GB2312" w:eastAsia="仿宋_GB2312"/>
                <w:sz w:val="21"/>
                <w:b/>
              </w:rPr>
              <w:t xml:space="preserve">座公厕的设计改造提升工作，具体位置如下：德福巷公厕位于粉巷与德福巷交叉路口往西约 </w:t>
            </w:r>
            <w:r>
              <w:rPr>
                <w:rFonts w:ascii="仿宋_GB2312" w:hAnsi="仿宋_GB2312" w:cs="仿宋_GB2312" w:eastAsia="仿宋_GB2312"/>
                <w:sz w:val="21"/>
                <w:b/>
              </w:rPr>
              <w:t xml:space="preserve">30 </w:t>
            </w:r>
            <w:r>
              <w:rPr>
                <w:rFonts w:ascii="仿宋_GB2312" w:hAnsi="仿宋_GB2312" w:cs="仿宋_GB2312" w:eastAsia="仿宋_GB2312"/>
                <w:sz w:val="21"/>
                <w:b/>
              </w:rPr>
              <w:t>米处，绛子巷公厕位于开元商城南门对面，雁塔北路公厕位于雁塔北路与测绘路东口，建西街公厕位于建西街西口，明胜路公厕位于八十六中学门口，四民巷公厕位于四民巷中段路北，安居巷公厕位于安居巷北口。</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计划工期：自合同签订之日起</w:t>
            </w:r>
            <w:r>
              <w:rPr>
                <w:rFonts w:ascii="仿宋_GB2312" w:hAnsi="仿宋_GB2312" w:cs="仿宋_GB2312" w:eastAsia="仿宋_GB2312"/>
                <w:sz w:val="21"/>
                <w:b/>
              </w:rPr>
              <w:t>60</w:t>
            </w:r>
            <w:r>
              <w:rPr>
                <w:rFonts w:ascii="仿宋_GB2312" w:hAnsi="仿宋_GB2312" w:cs="仿宋_GB2312" w:eastAsia="仿宋_GB2312"/>
                <w:sz w:val="21"/>
                <w:b/>
              </w:rPr>
              <w:t>天。</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缺陷责任期</w:t>
            </w:r>
            <w:r>
              <w:rPr>
                <w:rFonts w:ascii="仿宋_GB2312" w:hAnsi="仿宋_GB2312" w:cs="仿宋_GB2312" w:eastAsia="仿宋_GB2312"/>
                <w:sz w:val="21"/>
                <w:b/>
              </w:rPr>
              <w:t>:</w:t>
            </w:r>
            <w:r>
              <w:rPr>
                <w:rFonts w:ascii="仿宋_GB2312" w:hAnsi="仿宋_GB2312" w:cs="仿宋_GB2312" w:eastAsia="仿宋_GB2312"/>
                <w:sz w:val="21"/>
                <w:b/>
              </w:rPr>
              <w:t>本工程缺陷责任期为</w:t>
            </w:r>
            <w:r>
              <w:rPr>
                <w:rFonts w:ascii="仿宋_GB2312" w:hAnsi="仿宋_GB2312" w:cs="仿宋_GB2312" w:eastAsia="仿宋_GB2312"/>
                <w:sz w:val="21"/>
                <w:b/>
              </w:rPr>
              <w:t>24</w:t>
            </w:r>
            <w:r>
              <w:rPr>
                <w:rFonts w:ascii="仿宋_GB2312" w:hAnsi="仿宋_GB2312" w:cs="仿宋_GB2312" w:eastAsia="仿宋_GB2312"/>
                <w:sz w:val="21"/>
                <w:b/>
              </w:rPr>
              <w:t>个月</w:t>
            </w:r>
            <w:r>
              <w:rPr>
                <w:rFonts w:ascii="仿宋_GB2312" w:hAnsi="仿宋_GB2312" w:cs="仿宋_GB2312" w:eastAsia="仿宋_GB2312"/>
                <w:sz w:val="21"/>
                <w:b/>
              </w:rPr>
              <w:t>，缺陷责任期自工程通过竣工验收之日计算。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质量保修期</w:t>
            </w:r>
            <w:r>
              <w:rPr>
                <w:rFonts w:ascii="仿宋_GB2312" w:hAnsi="仿宋_GB2312" w:cs="仿宋_GB2312" w:eastAsia="仿宋_GB2312"/>
                <w:sz w:val="21"/>
              </w:rPr>
              <w:t>:</w:t>
            </w:r>
            <w:r>
              <w:rPr>
                <w:rFonts w:ascii="仿宋_GB2312" w:hAnsi="仿宋_GB2312" w:cs="仿宋_GB2312" w:eastAsia="仿宋_GB2312"/>
                <w:sz w:val="21"/>
              </w:rPr>
              <w:t>本工程质量保修期</w:t>
            </w:r>
            <w:r>
              <w:rPr>
                <w:rFonts w:ascii="仿宋_GB2312" w:hAnsi="仿宋_GB2312" w:cs="仿宋_GB2312" w:eastAsia="仿宋_GB2312"/>
                <w:sz w:val="21"/>
              </w:rPr>
              <w:t>为两年。</w:t>
            </w:r>
          </w:p>
          <w:p>
            <w:pPr>
              <w:pStyle w:val="null3"/>
              <w:spacing w:before="120" w:after="120"/>
              <w:jc w:val="both"/>
              <w:outlineLvl w:val="2"/>
            </w:pPr>
            <w:r>
              <w:rPr>
                <w:rFonts w:ascii="仿宋_GB2312" w:hAnsi="仿宋_GB2312" w:cs="仿宋_GB2312" w:eastAsia="仿宋_GB2312"/>
                <w:sz w:val="21"/>
                <w:b/>
              </w:rPr>
              <w:t>三、工程量清单和计价依据</w:t>
            </w:r>
          </w:p>
          <w:p>
            <w:pPr>
              <w:pStyle w:val="null3"/>
              <w:spacing w:before="120" w:after="120"/>
              <w:jc w:val="both"/>
              <w:outlineLvl w:val="2"/>
            </w:pPr>
            <w:r>
              <w:rPr>
                <w:rFonts w:ascii="仿宋_GB2312" w:hAnsi="仿宋_GB2312" w:cs="仿宋_GB2312" w:eastAsia="仿宋_GB2312"/>
                <w:sz w:val="21"/>
                <w:b/>
              </w:rPr>
              <w:t>（一）计价依据：</w:t>
            </w:r>
          </w:p>
          <w:p>
            <w:pPr>
              <w:pStyle w:val="null3"/>
              <w:spacing w:before="120" w:after="120"/>
              <w:jc w:val="both"/>
              <w:outlineLvl w:val="2"/>
            </w:pPr>
            <w:r>
              <w:rPr>
                <w:rFonts w:ascii="仿宋_GB2312" w:hAnsi="仿宋_GB2312" w:cs="仿宋_GB2312" w:eastAsia="仿宋_GB2312"/>
                <w:sz w:val="21"/>
                <w:b/>
              </w:rPr>
              <w:t>1</w:t>
            </w:r>
            <w:r>
              <w:rPr>
                <w:rFonts w:ascii="仿宋_GB2312" w:hAnsi="仿宋_GB2312" w:cs="仿宋_GB2312" w:eastAsia="仿宋_GB2312"/>
                <w:sz w:val="21"/>
                <w:b/>
              </w:rPr>
              <w:t>、建设工程规范标准、设计施工图纸；</w:t>
            </w:r>
          </w:p>
          <w:p>
            <w:pPr>
              <w:pStyle w:val="null3"/>
              <w:spacing w:before="120" w:after="120"/>
              <w:jc w:val="both"/>
              <w:outlineLvl w:val="2"/>
            </w:pPr>
            <w:r>
              <w:rPr>
                <w:rFonts w:ascii="仿宋_GB2312" w:hAnsi="仿宋_GB2312" w:cs="仿宋_GB2312" w:eastAsia="仿宋_GB2312"/>
                <w:sz w:val="21"/>
                <w:b/>
              </w:rPr>
              <w:t>2</w:t>
            </w:r>
            <w:r>
              <w:rPr>
                <w:rFonts w:ascii="仿宋_GB2312" w:hAnsi="仿宋_GB2312" w:cs="仿宋_GB2312" w:eastAsia="仿宋_GB2312"/>
                <w:sz w:val="21"/>
                <w:b/>
              </w:rPr>
              <w:t>、《陕西省建设工程工程量清单计价标准及计算标准》</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3</w:t>
            </w:r>
            <w:r>
              <w:rPr>
                <w:rFonts w:ascii="仿宋_GB2312" w:hAnsi="仿宋_GB2312" w:cs="仿宋_GB2312" w:eastAsia="仿宋_GB2312"/>
                <w:sz w:val="21"/>
                <w:b/>
              </w:rPr>
              <w:t>、《陕西省市政工程基价表》</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4</w:t>
            </w:r>
            <w:r>
              <w:rPr>
                <w:rFonts w:ascii="仿宋_GB2312" w:hAnsi="仿宋_GB2312" w:cs="仿宋_GB2312" w:eastAsia="仿宋_GB2312"/>
                <w:sz w:val="21"/>
                <w:b/>
              </w:rPr>
              <w:t>、《陕西省通用安装工程基价表》</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5</w:t>
            </w:r>
            <w:r>
              <w:rPr>
                <w:rFonts w:ascii="仿宋_GB2312" w:hAnsi="仿宋_GB2312" w:cs="仿宋_GB2312" w:eastAsia="仿宋_GB2312"/>
                <w:sz w:val="21"/>
                <w:b/>
              </w:rPr>
              <w:t>、《陕西省房屋建筑与装饰工程基价表》</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6</w:t>
            </w:r>
            <w:r>
              <w:rPr>
                <w:rFonts w:ascii="仿宋_GB2312" w:hAnsi="仿宋_GB2312" w:cs="仿宋_GB2312" w:eastAsia="仿宋_GB2312"/>
                <w:sz w:val="21"/>
                <w:b/>
              </w:rPr>
              <w:t>、《陕西省市政工程消耗量定额》</w:t>
            </w:r>
            <w:r>
              <w:rPr>
                <w:rFonts w:ascii="仿宋_GB2312" w:hAnsi="仿宋_GB2312" w:cs="仿宋_GB2312" w:eastAsia="仿宋_GB2312"/>
                <w:sz w:val="21"/>
                <w:b/>
              </w:rPr>
              <w:t>(2025)</w:t>
            </w:r>
            <w:r>
              <w:rPr>
                <w:rFonts w:ascii="仿宋_GB2312" w:hAnsi="仿宋_GB2312" w:cs="仿宋_GB2312" w:eastAsia="仿宋_GB2312"/>
                <w:sz w:val="21"/>
                <w:b/>
              </w:rPr>
              <w:t>、《陕西省房屋建筑与装饰工程消耗量定额》</w:t>
            </w:r>
            <w:r>
              <w:rPr>
                <w:rFonts w:ascii="仿宋_GB2312" w:hAnsi="仿宋_GB2312" w:cs="仿宋_GB2312" w:eastAsia="仿宋_GB2312"/>
                <w:sz w:val="21"/>
                <w:b/>
              </w:rPr>
              <w:t>(2025)</w:t>
            </w:r>
            <w:r>
              <w:rPr>
                <w:rFonts w:ascii="仿宋_GB2312" w:hAnsi="仿宋_GB2312" w:cs="仿宋_GB2312" w:eastAsia="仿宋_GB2312"/>
                <w:sz w:val="21"/>
                <w:b/>
              </w:rPr>
              <w:t>、《陕西省通用安装工程消耗量定额》</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7</w:t>
            </w:r>
            <w:r>
              <w:rPr>
                <w:rFonts w:ascii="仿宋_GB2312" w:hAnsi="仿宋_GB2312" w:cs="仿宋_GB2312" w:eastAsia="仿宋_GB2312"/>
                <w:sz w:val="21"/>
                <w:b/>
              </w:rPr>
              <w:t>、《陕西省建设工程费用规则》（</w:t>
            </w:r>
            <w:r>
              <w:rPr>
                <w:rFonts w:ascii="仿宋_GB2312" w:hAnsi="仿宋_GB2312" w:cs="仿宋_GB2312" w:eastAsia="仿宋_GB2312"/>
                <w:sz w:val="21"/>
                <w:b/>
              </w:rPr>
              <w:t>2025</w:t>
            </w:r>
            <w:r>
              <w:rPr>
                <w:rFonts w:ascii="仿宋_GB2312" w:hAnsi="仿宋_GB2312" w:cs="仿宋_GB2312" w:eastAsia="仿宋_GB2312"/>
                <w:sz w:val="21"/>
                <w:b/>
              </w:rPr>
              <w:t>）；</w:t>
            </w:r>
          </w:p>
          <w:p>
            <w:pPr>
              <w:pStyle w:val="null3"/>
              <w:spacing w:before="120" w:after="120"/>
              <w:jc w:val="both"/>
              <w:outlineLvl w:val="2"/>
            </w:pPr>
            <w:r>
              <w:rPr>
                <w:rFonts w:ascii="仿宋_GB2312" w:hAnsi="仿宋_GB2312" w:cs="仿宋_GB2312" w:eastAsia="仿宋_GB2312"/>
                <w:sz w:val="21"/>
                <w:b/>
              </w:rPr>
              <w:t>8</w:t>
            </w:r>
            <w:r>
              <w:rPr>
                <w:rFonts w:ascii="仿宋_GB2312" w:hAnsi="仿宋_GB2312" w:cs="仿宋_GB2312" w:eastAsia="仿宋_GB2312"/>
                <w:sz w:val="21"/>
                <w:b/>
              </w:rPr>
              <w:t>、增值税执行《关于调整陕西省建设工程计价依据的通知》（陕建发（</w:t>
            </w:r>
            <w:r>
              <w:rPr>
                <w:rFonts w:ascii="仿宋_GB2312" w:hAnsi="仿宋_GB2312" w:cs="仿宋_GB2312" w:eastAsia="仿宋_GB2312"/>
                <w:sz w:val="21"/>
                <w:b/>
              </w:rPr>
              <w:t>2019</w:t>
            </w:r>
            <w:r>
              <w:rPr>
                <w:rFonts w:ascii="仿宋_GB2312" w:hAnsi="仿宋_GB2312" w:cs="仿宋_GB2312" w:eastAsia="仿宋_GB2312"/>
                <w:sz w:val="21"/>
                <w:b/>
              </w:rPr>
              <w:t>）</w:t>
            </w:r>
            <w:r>
              <w:rPr>
                <w:rFonts w:ascii="仿宋_GB2312" w:hAnsi="仿宋_GB2312" w:cs="仿宋_GB2312" w:eastAsia="仿宋_GB2312"/>
                <w:sz w:val="21"/>
                <w:b/>
              </w:rPr>
              <w:t>45</w:t>
            </w:r>
            <w:r>
              <w:rPr>
                <w:rFonts w:ascii="仿宋_GB2312" w:hAnsi="仿宋_GB2312" w:cs="仿宋_GB2312" w:eastAsia="仿宋_GB2312"/>
                <w:sz w:val="21"/>
                <w:b/>
              </w:rPr>
              <w:t>号文）。</w:t>
            </w:r>
          </w:p>
          <w:p>
            <w:pPr>
              <w:pStyle w:val="null3"/>
              <w:spacing w:before="120" w:after="120"/>
              <w:jc w:val="both"/>
              <w:outlineLvl w:val="2"/>
            </w:pPr>
            <w:r>
              <w:rPr>
                <w:rFonts w:ascii="仿宋_GB2312" w:hAnsi="仿宋_GB2312" w:cs="仿宋_GB2312" w:eastAsia="仿宋_GB2312"/>
                <w:sz w:val="21"/>
                <w:b/>
              </w:rPr>
              <w:t>（二）主要材料价格执行《陕西省工程造价信息》（</w:t>
            </w:r>
            <w:r>
              <w:rPr>
                <w:rFonts w:ascii="仿宋_GB2312" w:hAnsi="仿宋_GB2312" w:cs="仿宋_GB2312" w:eastAsia="仿宋_GB2312"/>
                <w:sz w:val="21"/>
                <w:b/>
              </w:rPr>
              <w:t>2025</w:t>
            </w:r>
            <w:r>
              <w:rPr>
                <w:rFonts w:ascii="仿宋_GB2312" w:hAnsi="仿宋_GB2312" w:cs="仿宋_GB2312" w:eastAsia="仿宋_GB2312"/>
                <w:sz w:val="21"/>
                <w:b/>
              </w:rPr>
              <w:t>年第</w:t>
            </w:r>
            <w:r>
              <w:rPr>
                <w:rFonts w:ascii="仿宋_GB2312" w:hAnsi="仿宋_GB2312" w:cs="仿宋_GB2312" w:eastAsia="仿宋_GB2312"/>
                <w:sz w:val="21"/>
                <w:b/>
              </w:rPr>
              <w:t>11</w:t>
            </w:r>
            <w:r>
              <w:rPr>
                <w:rFonts w:ascii="仿宋_GB2312" w:hAnsi="仿宋_GB2312" w:cs="仿宋_GB2312" w:eastAsia="仿宋_GB2312"/>
                <w:sz w:val="21"/>
                <w:b/>
              </w:rPr>
              <w:t>期），信息价中无对应材料价格按市场价计入。</w:t>
            </w:r>
          </w:p>
          <w:p>
            <w:pPr>
              <w:pStyle w:val="null3"/>
              <w:spacing w:before="120" w:after="120"/>
              <w:jc w:val="both"/>
              <w:outlineLvl w:val="2"/>
            </w:pPr>
            <w:r>
              <w:rPr>
                <w:rFonts w:ascii="仿宋_GB2312" w:hAnsi="仿宋_GB2312" w:cs="仿宋_GB2312" w:eastAsia="仿宋_GB2312"/>
                <w:sz w:val="21"/>
                <w:b/>
              </w:rPr>
              <w:t>（三）工程量清单：见附件</w:t>
            </w:r>
          </w:p>
          <w:p>
            <w:pPr>
              <w:pStyle w:val="null3"/>
              <w:ind w:firstLine="630"/>
              <w:jc w:val="both"/>
            </w:pPr>
            <w:r>
              <w:rPr>
                <w:rFonts w:ascii="仿宋_GB2312" w:hAnsi="仿宋_GB2312" w:cs="仿宋_GB2312" w:eastAsia="仿宋_GB2312"/>
                <w:sz w:val="21"/>
              </w:rPr>
              <w:t>本工程采用广联达云计价平台</w:t>
            </w:r>
            <w:r>
              <w:rPr>
                <w:rFonts w:ascii="仿宋_GB2312" w:hAnsi="仿宋_GB2312" w:cs="仿宋_GB2312" w:eastAsia="仿宋_GB2312"/>
                <w:sz w:val="21"/>
              </w:rPr>
              <w:t>GCCP7.0</w:t>
            </w:r>
            <w:r>
              <w:rPr>
                <w:rFonts w:ascii="仿宋_GB2312" w:hAnsi="仿宋_GB2312" w:cs="仿宋_GB2312" w:eastAsia="仿宋_GB2312"/>
                <w:sz w:val="21"/>
              </w:rPr>
              <w:t>（</w:t>
            </w:r>
            <w:r>
              <w:rPr>
                <w:rFonts w:ascii="仿宋_GB2312" w:hAnsi="仿宋_GB2312" w:cs="仿宋_GB2312" w:eastAsia="仿宋_GB2312"/>
                <w:sz w:val="21"/>
              </w:rPr>
              <w:t>7.5000.23.2</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before="120" w:after="120"/>
              <w:jc w:val="both"/>
              <w:outlineLvl w:val="2"/>
            </w:pPr>
            <w:r>
              <w:rPr>
                <w:rFonts w:ascii="仿宋_GB2312" w:hAnsi="仿宋_GB2312" w:cs="仿宋_GB2312" w:eastAsia="仿宋_GB2312"/>
                <w:sz w:val="21"/>
                <w:b/>
              </w:rPr>
              <w:t>四、施工要求</w:t>
            </w:r>
          </w:p>
          <w:p>
            <w:pPr>
              <w:pStyle w:val="null3"/>
              <w:spacing w:before="120" w:after="120"/>
              <w:jc w:val="both"/>
              <w:outlineLvl w:val="2"/>
            </w:pPr>
            <w:r>
              <w:rPr>
                <w:rFonts w:ascii="仿宋_GB2312" w:hAnsi="仿宋_GB2312" w:cs="仿宋_GB2312" w:eastAsia="仿宋_GB2312"/>
                <w:sz w:val="21"/>
                <w:b/>
              </w:rPr>
              <w:t>1.</w:t>
            </w:r>
            <w:r>
              <w:rPr>
                <w:rFonts w:ascii="仿宋_GB2312" w:hAnsi="仿宋_GB2312" w:cs="仿宋_GB2312" w:eastAsia="仿宋_GB2312"/>
                <w:sz w:val="21"/>
                <w:b/>
              </w:rPr>
              <w:t>在施工期间，中标供应商必须注意人员安全，加强安全措施，并对施工人员进行安全教育。施工人员必须持证上岗。中标供应商在施工中做到封闭性施工。</w:t>
            </w:r>
          </w:p>
          <w:p>
            <w:pPr>
              <w:pStyle w:val="null3"/>
              <w:spacing w:before="120" w:after="120"/>
              <w:jc w:val="both"/>
              <w:outlineLvl w:val="2"/>
            </w:pPr>
            <w:r>
              <w:rPr>
                <w:rFonts w:ascii="仿宋_GB2312" w:hAnsi="仿宋_GB2312" w:cs="仿宋_GB2312" w:eastAsia="仿宋_GB2312"/>
                <w:sz w:val="21"/>
                <w:b/>
              </w:rPr>
              <w:t>2.</w:t>
            </w:r>
            <w:r>
              <w:rPr>
                <w:rFonts w:ascii="仿宋_GB2312" w:hAnsi="仿宋_GB2312" w:cs="仿宋_GB2312" w:eastAsia="仿宋_GB2312"/>
                <w:sz w:val="21"/>
                <w:b/>
              </w:rPr>
              <w:t>供应商根据工程实际情况编制施工方案，制定工期进度安排表。</w:t>
            </w:r>
          </w:p>
          <w:p>
            <w:pPr>
              <w:pStyle w:val="null3"/>
              <w:spacing w:before="120" w:after="120"/>
              <w:jc w:val="both"/>
              <w:outlineLvl w:val="2"/>
            </w:pPr>
            <w:r>
              <w:rPr>
                <w:rFonts w:ascii="仿宋_GB2312" w:hAnsi="仿宋_GB2312" w:cs="仿宋_GB2312" w:eastAsia="仿宋_GB2312"/>
                <w:sz w:val="21"/>
                <w:b/>
              </w:rPr>
              <w:t>3.</w:t>
            </w:r>
            <w:r>
              <w:rPr>
                <w:rFonts w:ascii="仿宋_GB2312" w:hAnsi="仿宋_GB2312" w:cs="仿宋_GB2312" w:eastAsia="仿宋_GB2312"/>
                <w:sz w:val="21"/>
                <w:b/>
              </w:rPr>
              <w:t>供应商在本工程中的项目负责人</w:t>
            </w:r>
            <w:r>
              <w:rPr>
                <w:rFonts w:ascii="仿宋_GB2312" w:hAnsi="仿宋_GB2312" w:cs="仿宋_GB2312" w:eastAsia="仿宋_GB2312"/>
                <w:sz w:val="21"/>
                <w:b/>
              </w:rPr>
              <w:t>(</w:t>
            </w:r>
            <w:r>
              <w:rPr>
                <w:rFonts w:ascii="仿宋_GB2312" w:hAnsi="仿宋_GB2312" w:cs="仿宋_GB2312" w:eastAsia="仿宋_GB2312"/>
                <w:sz w:val="21"/>
                <w:b/>
              </w:rPr>
              <w:t>项目经理</w:t>
            </w:r>
            <w:r>
              <w:rPr>
                <w:rFonts w:ascii="仿宋_GB2312" w:hAnsi="仿宋_GB2312" w:cs="仿宋_GB2312" w:eastAsia="仿宋_GB2312"/>
                <w:sz w:val="21"/>
                <w:b/>
              </w:rPr>
              <w:t>)</w:t>
            </w:r>
            <w:r>
              <w:rPr>
                <w:rFonts w:ascii="仿宋_GB2312" w:hAnsi="仿宋_GB2312" w:cs="仿宋_GB2312" w:eastAsia="仿宋_GB2312"/>
                <w:sz w:val="21"/>
                <w:b/>
              </w:rPr>
              <w:t>，要求技术水平高、组织能力强、有丰富的工程业绩和实践经验，懂管理、善于协调。施工人员中特殊工程人员要求有上岗证。施工队伍稳定，保证整个工程顺利完工。</w:t>
            </w:r>
          </w:p>
          <w:p>
            <w:pPr>
              <w:pStyle w:val="null3"/>
              <w:spacing w:before="120" w:after="120"/>
              <w:jc w:val="both"/>
              <w:outlineLvl w:val="2"/>
            </w:pPr>
            <w:r>
              <w:rPr>
                <w:rFonts w:ascii="仿宋_GB2312" w:hAnsi="仿宋_GB2312" w:cs="仿宋_GB2312" w:eastAsia="仿宋_GB2312"/>
                <w:sz w:val="21"/>
                <w:b/>
              </w:rPr>
              <w:t>4.</w:t>
            </w:r>
            <w:r>
              <w:rPr>
                <w:rFonts w:ascii="仿宋_GB2312" w:hAnsi="仿宋_GB2312" w:cs="仿宋_GB2312" w:eastAsia="仿宋_GB2312"/>
                <w:sz w:val="21"/>
                <w:b/>
              </w:rPr>
              <w:t>施工过程中，严格遵守建设单位的各种管理规定及规章制度，做到文明施工。发生工伤及意外事故由施工单位负责。</w:t>
            </w:r>
          </w:p>
          <w:p>
            <w:pPr>
              <w:pStyle w:val="null3"/>
              <w:spacing w:before="120" w:after="120"/>
              <w:jc w:val="both"/>
              <w:outlineLvl w:val="2"/>
            </w:pPr>
            <w:r>
              <w:rPr>
                <w:rFonts w:ascii="仿宋_GB2312" w:hAnsi="仿宋_GB2312" w:cs="仿宋_GB2312" w:eastAsia="仿宋_GB2312"/>
                <w:sz w:val="21"/>
                <w:b/>
              </w:rPr>
              <w:t>5.</w:t>
            </w:r>
            <w:r>
              <w:rPr>
                <w:rFonts w:ascii="仿宋_GB2312" w:hAnsi="仿宋_GB2312" w:cs="仿宋_GB2312" w:eastAsia="仿宋_GB2312"/>
                <w:sz w:val="21"/>
                <w:b/>
              </w:rPr>
              <w:t>严格按照国家和省上有关规定施工、规范施工，确保工程合格，如有更改须事先征得有关方面的同意，并在采购人落实后实施，并出具书面说明。</w:t>
            </w:r>
          </w:p>
          <w:p>
            <w:pPr>
              <w:pStyle w:val="null3"/>
              <w:spacing w:before="120" w:after="120"/>
              <w:jc w:val="both"/>
              <w:outlineLvl w:val="2"/>
            </w:pPr>
            <w:r>
              <w:rPr>
                <w:rFonts w:ascii="仿宋_GB2312" w:hAnsi="仿宋_GB2312" w:cs="仿宋_GB2312" w:eastAsia="仿宋_GB2312"/>
                <w:sz w:val="21"/>
                <w:b/>
              </w:rPr>
              <w:t>6.</w:t>
            </w:r>
            <w:r>
              <w:rPr>
                <w:rFonts w:ascii="仿宋_GB2312" w:hAnsi="仿宋_GB2312" w:cs="仿宋_GB2312" w:eastAsia="仿宋_GB2312"/>
                <w:sz w:val="21"/>
                <w:b/>
              </w:rPr>
              <w:t>工程实行包工包料，供应商必须具备相应的资质，不得转包、分包。</w:t>
            </w:r>
          </w:p>
          <w:p>
            <w:pPr>
              <w:pStyle w:val="null3"/>
              <w:spacing w:before="120" w:after="120"/>
              <w:jc w:val="both"/>
              <w:outlineLvl w:val="2"/>
            </w:pPr>
            <w:r>
              <w:rPr>
                <w:rFonts w:ascii="仿宋_GB2312" w:hAnsi="仿宋_GB2312" w:cs="仿宋_GB2312" w:eastAsia="仿宋_GB2312"/>
                <w:sz w:val="21"/>
                <w:b/>
              </w:rPr>
              <w:t>7.</w:t>
            </w:r>
            <w:r>
              <w:rPr>
                <w:rFonts w:ascii="仿宋_GB2312" w:hAnsi="仿宋_GB2312" w:cs="仿宋_GB2312" w:eastAsia="仿宋_GB2312"/>
                <w:sz w:val="21"/>
                <w:b/>
              </w:rPr>
              <w:t>所有进场材料需携带合格证等质量证明文件。由采购人现场代表对所进场材料予以验收并签字确认。</w:t>
            </w:r>
          </w:p>
          <w:p>
            <w:pPr>
              <w:pStyle w:val="null3"/>
              <w:spacing w:before="120" w:after="120"/>
              <w:jc w:val="both"/>
              <w:outlineLvl w:val="2"/>
            </w:pPr>
            <w:r>
              <w:rPr>
                <w:rFonts w:ascii="仿宋_GB2312" w:hAnsi="仿宋_GB2312" w:cs="仿宋_GB2312" w:eastAsia="仿宋_GB2312"/>
                <w:sz w:val="21"/>
                <w:b/>
              </w:rPr>
              <w:t>8.</w:t>
            </w:r>
            <w:r>
              <w:rPr>
                <w:rFonts w:ascii="仿宋_GB2312" w:hAnsi="仿宋_GB2312" w:cs="仿宋_GB2312" w:eastAsia="仿宋_GB2312"/>
                <w:sz w:val="21"/>
                <w:b/>
              </w:rPr>
              <w:t>所有施工人员需统一着装统一单位标识，严禁随意通行。</w:t>
            </w:r>
          </w:p>
          <w:p>
            <w:pPr>
              <w:pStyle w:val="null3"/>
              <w:spacing w:before="120" w:after="120"/>
              <w:jc w:val="both"/>
              <w:outlineLvl w:val="2"/>
            </w:pPr>
            <w:r>
              <w:rPr>
                <w:rFonts w:ascii="仿宋_GB2312" w:hAnsi="仿宋_GB2312" w:cs="仿宋_GB2312" w:eastAsia="仿宋_GB2312"/>
                <w:sz w:val="21"/>
                <w:b/>
              </w:rPr>
              <w:t>9.</w:t>
            </w:r>
            <w:r>
              <w:rPr>
                <w:rFonts w:ascii="仿宋_GB2312" w:hAnsi="仿宋_GB2312" w:cs="仿宋_GB2312" w:eastAsia="仿宋_GB2312"/>
                <w:sz w:val="21"/>
                <w:b/>
              </w:rPr>
              <w:t>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20" w:after="120"/>
              <w:jc w:val="both"/>
              <w:outlineLvl w:val="2"/>
            </w:pPr>
            <w:r>
              <w:rPr>
                <w:rFonts w:ascii="仿宋_GB2312" w:hAnsi="仿宋_GB2312" w:cs="仿宋_GB2312" w:eastAsia="仿宋_GB2312"/>
                <w:sz w:val="21"/>
                <w:b/>
              </w:rPr>
              <w:t>10.</w:t>
            </w:r>
            <w:r>
              <w:rPr>
                <w:rFonts w:ascii="仿宋_GB2312" w:hAnsi="仿宋_GB2312" w:cs="仿宋_GB2312" w:eastAsia="仿宋_GB2312"/>
                <w:sz w:val="21"/>
                <w:b/>
              </w:rPr>
              <w:t>施工方必须向采购人及时提供合格证及材料检验单。在征得有关方面认可后，方可进行施工，并做好相应的检验环节。</w:t>
            </w:r>
          </w:p>
          <w:p>
            <w:pPr>
              <w:pStyle w:val="null3"/>
              <w:spacing w:before="120" w:after="120"/>
              <w:jc w:val="both"/>
              <w:outlineLvl w:val="2"/>
            </w:pPr>
            <w:r>
              <w:rPr>
                <w:rFonts w:ascii="仿宋_GB2312" w:hAnsi="仿宋_GB2312" w:cs="仿宋_GB2312" w:eastAsia="仿宋_GB2312"/>
                <w:sz w:val="21"/>
                <w:b/>
              </w:rPr>
              <w:t>11.</w:t>
            </w:r>
            <w:r>
              <w:rPr>
                <w:rFonts w:ascii="仿宋_GB2312" w:hAnsi="仿宋_GB2312" w:cs="仿宋_GB2312" w:eastAsia="仿宋_GB2312"/>
                <w:sz w:val="21"/>
                <w:b/>
              </w:rPr>
              <w:t>施工方未经采购人同意，不得擅自更换本工程在响应文件中指定的项目施工负责人</w:t>
            </w:r>
            <w:r>
              <w:rPr>
                <w:rFonts w:ascii="仿宋_GB2312" w:hAnsi="仿宋_GB2312" w:cs="仿宋_GB2312" w:eastAsia="仿宋_GB2312"/>
                <w:sz w:val="21"/>
                <w:b/>
              </w:rPr>
              <w:t>(</w:t>
            </w:r>
            <w:r>
              <w:rPr>
                <w:rFonts w:ascii="仿宋_GB2312" w:hAnsi="仿宋_GB2312" w:cs="仿宋_GB2312" w:eastAsia="仿宋_GB2312"/>
                <w:sz w:val="21"/>
                <w:b/>
              </w:rPr>
              <w:t>项目经理</w:t>
            </w:r>
            <w:r>
              <w:rPr>
                <w:rFonts w:ascii="仿宋_GB2312" w:hAnsi="仿宋_GB2312" w:cs="仿宋_GB2312" w:eastAsia="仿宋_GB2312"/>
                <w:sz w:val="21"/>
                <w:b/>
              </w:rPr>
              <w:t>)</w:t>
            </w:r>
            <w:r>
              <w:rPr>
                <w:rFonts w:ascii="仿宋_GB2312" w:hAnsi="仿宋_GB2312" w:cs="仿宋_GB2312" w:eastAsia="仿宋_GB2312"/>
                <w:sz w:val="21"/>
                <w:b/>
              </w:rPr>
              <w:t>及施工队伍。不得分包、转包。确需分包时须征得采购人同意。否则将终止合同并按政府采购有关规定进行处理。</w:t>
            </w:r>
          </w:p>
          <w:p>
            <w:pPr>
              <w:pStyle w:val="null3"/>
              <w:spacing w:before="120" w:after="120"/>
              <w:jc w:val="both"/>
              <w:outlineLvl w:val="2"/>
            </w:pPr>
            <w:r>
              <w:rPr>
                <w:rFonts w:ascii="仿宋_GB2312" w:hAnsi="仿宋_GB2312" w:cs="仿宋_GB2312" w:eastAsia="仿宋_GB2312"/>
                <w:sz w:val="21"/>
                <w:b/>
              </w:rPr>
              <w:t>12.</w:t>
            </w:r>
            <w:r>
              <w:rPr>
                <w:rFonts w:ascii="仿宋_GB2312" w:hAnsi="仿宋_GB2312" w:cs="仿宋_GB2312" w:eastAsia="仿宋_GB2312"/>
                <w:sz w:val="21"/>
                <w:b/>
              </w:rPr>
              <w:t>必须作好施工现场组织管理、文明施工，维护现场秩序，做到工完场清、道路畅通。建筑垃圾不得随意倾倒，由乙方自行联系运至碑林辖区地以外的建筑垃圾堆放场所并承担相应的费用。</w:t>
            </w:r>
          </w:p>
          <w:p>
            <w:pPr>
              <w:pStyle w:val="null3"/>
              <w:spacing w:before="120" w:after="120"/>
              <w:jc w:val="both"/>
              <w:outlineLvl w:val="2"/>
            </w:pPr>
            <w:r>
              <w:rPr>
                <w:rFonts w:ascii="仿宋_GB2312" w:hAnsi="仿宋_GB2312" w:cs="仿宋_GB2312" w:eastAsia="仿宋_GB2312"/>
                <w:sz w:val="21"/>
                <w:b/>
              </w:rPr>
              <w:t>五、商务要求</w:t>
            </w:r>
          </w:p>
          <w:p>
            <w:pPr>
              <w:pStyle w:val="null3"/>
              <w:spacing w:before="120" w:after="120"/>
              <w:jc w:val="both"/>
              <w:outlineLvl w:val="2"/>
            </w:pPr>
            <w:r>
              <w:rPr>
                <w:rFonts w:ascii="仿宋_GB2312" w:hAnsi="仿宋_GB2312" w:cs="仿宋_GB2312" w:eastAsia="仿宋_GB2312"/>
                <w:sz w:val="21"/>
                <w:b/>
              </w:rPr>
              <w:t>合同签订后，采购人</w:t>
            </w:r>
            <w:r>
              <w:rPr>
                <w:rFonts w:ascii="仿宋_GB2312" w:hAnsi="仿宋_GB2312" w:cs="仿宋_GB2312" w:eastAsia="仿宋_GB2312"/>
                <w:sz w:val="21"/>
                <w:b/>
              </w:rPr>
              <w:t>7</w:t>
            </w:r>
            <w:r>
              <w:rPr>
                <w:rFonts w:ascii="仿宋_GB2312" w:hAnsi="仿宋_GB2312" w:cs="仿宋_GB2312" w:eastAsia="仿宋_GB2312"/>
                <w:sz w:val="21"/>
                <w:b/>
              </w:rPr>
              <w:t>个工作日内支付成交供应商合同价的</w:t>
            </w:r>
            <w:r>
              <w:rPr>
                <w:rFonts w:ascii="仿宋_GB2312" w:hAnsi="仿宋_GB2312" w:cs="仿宋_GB2312" w:eastAsia="仿宋_GB2312"/>
                <w:sz w:val="21"/>
                <w:b/>
              </w:rPr>
              <w:t>40%</w:t>
            </w:r>
            <w:r>
              <w:rPr>
                <w:rFonts w:ascii="仿宋_GB2312" w:hAnsi="仿宋_GB2312" w:cs="仿宋_GB2312" w:eastAsia="仿宋_GB2312"/>
                <w:sz w:val="21"/>
                <w:b/>
              </w:rPr>
              <w:t>作为工程预付款</w:t>
            </w:r>
            <w:r>
              <w:rPr>
                <w:rFonts w:ascii="仿宋_GB2312" w:hAnsi="仿宋_GB2312" w:cs="仿宋_GB2312" w:eastAsia="仿宋_GB2312"/>
                <w:sz w:val="21"/>
                <w:b/>
              </w:rPr>
              <w:t>;</w:t>
            </w:r>
            <w:r>
              <w:rPr>
                <w:rFonts w:ascii="仿宋_GB2312" w:hAnsi="仿宋_GB2312" w:cs="仿宋_GB2312" w:eastAsia="仿宋_GB2312"/>
                <w:sz w:val="21"/>
                <w:b/>
              </w:rPr>
              <w:t>竣工验收合格后，乙方提供施工结算资料；由政府审计部门或甲方委托的第三方审计进行审计得到结算评审价，甲方根据最终决算价款支付至结算评审价的</w:t>
            </w:r>
            <w:r>
              <w:rPr>
                <w:rFonts w:ascii="仿宋_GB2312" w:hAnsi="仿宋_GB2312" w:cs="仿宋_GB2312" w:eastAsia="仿宋_GB2312"/>
                <w:sz w:val="21"/>
                <w:b/>
              </w:rPr>
              <w:t>97%</w:t>
            </w:r>
            <w:r>
              <w:rPr>
                <w:rFonts w:ascii="仿宋_GB2312" w:hAnsi="仿宋_GB2312" w:cs="仿宋_GB2312" w:eastAsia="仿宋_GB2312"/>
                <w:sz w:val="21"/>
                <w:b/>
              </w:rPr>
              <w:t>，扣留结算评审价的</w:t>
            </w:r>
            <w:r>
              <w:rPr>
                <w:rFonts w:ascii="仿宋_GB2312" w:hAnsi="仿宋_GB2312" w:cs="仿宋_GB2312" w:eastAsia="仿宋_GB2312"/>
                <w:sz w:val="21"/>
                <w:b/>
              </w:rPr>
              <w:t>3%</w:t>
            </w:r>
            <w:r>
              <w:rPr>
                <w:rFonts w:ascii="仿宋_GB2312" w:hAnsi="仿宋_GB2312" w:cs="仿宋_GB2312" w:eastAsia="仿宋_GB2312"/>
                <w:sz w:val="21"/>
                <w:b/>
              </w:rPr>
              <w:t>作为质保金，待缺陷责任期满后一次性不计息支付。在付款前，供应商应当先开具符合采购人要求的发票给采购人。</w:t>
            </w:r>
          </w:p>
          <w:p>
            <w:pPr>
              <w:pStyle w:val="null3"/>
              <w:spacing w:before="120" w:after="120"/>
              <w:jc w:val="both"/>
              <w:outlineLvl w:val="2"/>
            </w:pPr>
            <w:r>
              <w:rPr>
                <w:rFonts w:ascii="仿宋_GB2312" w:hAnsi="仿宋_GB2312" w:cs="仿宋_GB2312" w:eastAsia="仿宋_GB2312"/>
                <w:sz w:val="21"/>
                <w:b/>
              </w:rPr>
              <w:t>六、质量保证</w:t>
            </w:r>
          </w:p>
          <w:p>
            <w:pPr>
              <w:pStyle w:val="null3"/>
              <w:spacing w:before="120" w:after="120"/>
              <w:jc w:val="both"/>
              <w:outlineLvl w:val="2"/>
            </w:pPr>
            <w:r>
              <w:rPr>
                <w:rFonts w:ascii="仿宋_GB2312" w:hAnsi="仿宋_GB2312" w:cs="仿宋_GB2312" w:eastAsia="仿宋_GB2312"/>
                <w:sz w:val="21"/>
                <w:b/>
              </w:rPr>
              <w:t>1</w:t>
            </w:r>
            <w:r>
              <w:rPr>
                <w:rFonts w:ascii="仿宋_GB2312" w:hAnsi="仿宋_GB2312" w:cs="仿宋_GB2312" w:eastAsia="仿宋_GB2312"/>
                <w:sz w:val="21"/>
                <w:b/>
              </w:rPr>
              <w:t>、供应商必须依据磋商要求，按照有关规范施工，确保工程优良，一次性验收交接。</w:t>
            </w:r>
          </w:p>
          <w:p>
            <w:pPr>
              <w:pStyle w:val="null3"/>
              <w:spacing w:before="120" w:after="120"/>
              <w:jc w:val="both"/>
              <w:outlineLvl w:val="2"/>
            </w:pPr>
            <w:r>
              <w:rPr>
                <w:rFonts w:ascii="仿宋_GB2312" w:hAnsi="仿宋_GB2312" w:cs="仿宋_GB2312" w:eastAsia="仿宋_GB2312"/>
                <w:sz w:val="21"/>
                <w:b/>
              </w:rPr>
              <w:t>2</w:t>
            </w:r>
            <w:r>
              <w:rPr>
                <w:rFonts w:ascii="仿宋_GB2312" w:hAnsi="仿宋_GB2312" w:cs="仿宋_GB2312" w:eastAsia="仿宋_GB2312"/>
                <w:sz w:val="21"/>
                <w:b/>
              </w:rPr>
              <w:t>、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20" w:after="120"/>
              <w:jc w:val="both"/>
              <w:outlineLvl w:val="2"/>
            </w:pPr>
            <w:r>
              <w:rPr>
                <w:rFonts w:ascii="仿宋_GB2312" w:hAnsi="仿宋_GB2312" w:cs="仿宋_GB2312" w:eastAsia="仿宋_GB2312"/>
                <w:sz w:val="21"/>
                <w:b/>
              </w:rPr>
              <w:t>3</w:t>
            </w:r>
            <w:r>
              <w:rPr>
                <w:rFonts w:ascii="仿宋_GB2312" w:hAnsi="仿宋_GB2312" w:cs="仿宋_GB2312" w:eastAsia="仿宋_GB2312"/>
                <w:sz w:val="21"/>
                <w:b/>
              </w:rPr>
              <w:t>、供应商必须向采购人及时提供合格证及材料检验单。在征得有关方面认可后，方可进行施工，并做好相应的检验环节。</w:t>
            </w:r>
          </w:p>
          <w:p>
            <w:pPr>
              <w:pStyle w:val="null3"/>
              <w:spacing w:before="120" w:after="120"/>
              <w:jc w:val="both"/>
              <w:outlineLvl w:val="2"/>
            </w:pPr>
            <w:r>
              <w:rPr>
                <w:rFonts w:ascii="仿宋_GB2312" w:hAnsi="仿宋_GB2312" w:cs="仿宋_GB2312" w:eastAsia="仿宋_GB2312"/>
                <w:sz w:val="21"/>
                <w:b/>
              </w:rPr>
              <w:t>4</w:t>
            </w:r>
            <w:r>
              <w:rPr>
                <w:rFonts w:ascii="仿宋_GB2312" w:hAnsi="仿宋_GB2312" w:cs="仿宋_GB2312" w:eastAsia="仿宋_GB2312"/>
                <w:sz w:val="21"/>
                <w:b/>
              </w:rPr>
              <w:t>、质量保证期为各供应商承诺的期限。施工单位的售后服务要完善、可靠、及时，并派遣相关技术人员配合采购人检查、维修。</w:t>
            </w:r>
            <w:r>
              <w:rPr>
                <w:rFonts w:ascii="仿宋_GB2312" w:hAnsi="仿宋_GB2312" w:cs="仿宋_GB2312" w:eastAsia="仿宋_GB2312"/>
                <w:sz w:val="21"/>
                <w:b/>
              </w:rPr>
              <w:t xml:space="preserve"> </w:t>
            </w:r>
          </w:p>
          <w:p>
            <w:pPr>
              <w:pStyle w:val="null3"/>
              <w:spacing w:before="120" w:after="120"/>
              <w:jc w:val="both"/>
              <w:outlineLvl w:val="2"/>
            </w:pPr>
            <w:r>
              <w:rPr>
                <w:rFonts w:ascii="仿宋_GB2312" w:hAnsi="仿宋_GB2312" w:cs="仿宋_GB2312" w:eastAsia="仿宋_GB2312"/>
                <w:sz w:val="21"/>
                <w:b/>
              </w:rPr>
              <w:t>5</w:t>
            </w:r>
            <w:r>
              <w:rPr>
                <w:rFonts w:ascii="仿宋_GB2312" w:hAnsi="仿宋_GB2312" w:cs="仿宋_GB2312" w:eastAsia="仿宋_GB2312"/>
                <w:sz w:val="21"/>
                <w:b/>
              </w:rPr>
              <w:t>、质量验收标准或规范</w:t>
            </w:r>
          </w:p>
          <w:p>
            <w:pPr>
              <w:pStyle w:val="null3"/>
              <w:jc w:val="both"/>
            </w:pPr>
            <w:r>
              <w:rPr>
                <w:rFonts w:ascii="仿宋_GB2312" w:hAnsi="仿宋_GB2312" w:cs="仿宋_GB2312" w:eastAsia="仿宋_GB2312"/>
                <w:sz w:val="21"/>
              </w:rPr>
              <w:t>工程质量符合国家现行有关施工质量验收规范要求</w:t>
            </w:r>
            <w:r>
              <w:rPr>
                <w:rFonts w:ascii="仿宋_GB2312" w:hAnsi="仿宋_GB2312" w:cs="仿宋_GB2312" w:eastAsia="仿宋_GB2312"/>
                <w:sz w:val="21"/>
              </w:rPr>
              <w:t>“合格”标准</w:t>
            </w:r>
            <w:r>
              <w:rPr>
                <w:rFonts w:ascii="仿宋_GB2312" w:hAnsi="仿宋_GB2312" w:cs="仿宋_GB2312" w:eastAsia="仿宋_GB2312"/>
                <w:sz w:val="21"/>
              </w:rPr>
              <w:t>。</w:t>
            </w:r>
          </w:p>
          <w:p>
            <w:pPr>
              <w:pStyle w:val="null3"/>
              <w:spacing w:before="120" w:after="120"/>
              <w:jc w:val="both"/>
              <w:outlineLvl w:val="2"/>
            </w:pPr>
            <w:r>
              <w:rPr>
                <w:rFonts w:ascii="仿宋_GB2312" w:hAnsi="仿宋_GB2312" w:cs="仿宋_GB2312" w:eastAsia="仿宋_GB2312"/>
                <w:sz w:val="21"/>
                <w:b/>
              </w:rPr>
              <w:t>七、其他</w:t>
            </w:r>
          </w:p>
          <w:p>
            <w:pPr>
              <w:pStyle w:val="null3"/>
              <w:spacing w:before="120" w:after="120"/>
              <w:jc w:val="both"/>
              <w:outlineLvl w:val="2"/>
            </w:pPr>
            <w:r>
              <w:rPr>
                <w:rFonts w:ascii="仿宋_GB2312" w:hAnsi="仿宋_GB2312" w:cs="仿宋_GB2312" w:eastAsia="仿宋_GB2312"/>
                <w:sz w:val="21"/>
                <w:b/>
              </w:rPr>
              <w:t>（一）违约责任</w:t>
            </w:r>
          </w:p>
          <w:p>
            <w:pPr>
              <w:pStyle w:val="null3"/>
              <w:spacing w:before="120" w:after="120"/>
              <w:jc w:val="both"/>
              <w:outlineLvl w:val="2"/>
            </w:pPr>
            <w:r>
              <w:rPr>
                <w:rFonts w:ascii="仿宋_GB2312" w:hAnsi="仿宋_GB2312" w:cs="仿宋_GB2312" w:eastAsia="仿宋_GB2312"/>
                <w:sz w:val="21"/>
                <w:b/>
              </w:rPr>
              <w:t>依据《中华人民共和国民法典》、《中华人民共和国政府采购法》的相关条款约定执行。</w:t>
            </w:r>
          </w:p>
          <w:p>
            <w:pPr>
              <w:pStyle w:val="null3"/>
              <w:spacing w:before="120" w:after="120"/>
              <w:jc w:val="both"/>
              <w:outlineLvl w:val="2"/>
            </w:pPr>
            <w:r>
              <w:rPr>
                <w:rFonts w:ascii="仿宋_GB2312" w:hAnsi="仿宋_GB2312" w:cs="仿宋_GB2312" w:eastAsia="仿宋_GB2312"/>
                <w:sz w:val="21"/>
                <w:b/>
              </w:rPr>
              <w:t>1</w:t>
            </w:r>
            <w:r>
              <w:rPr>
                <w:rFonts w:ascii="仿宋_GB2312" w:hAnsi="仿宋_GB2312" w:cs="仿宋_GB2312" w:eastAsia="仿宋_GB2312"/>
                <w:sz w:val="21"/>
                <w:b/>
              </w:rPr>
              <w:t>、发包人违约。当发生下列情况时：</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）发包人不按合同约定支付工程款，导致施工无法进行；</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）发包人不履行合同义务或不按合同约定履行义务的其他情况。</w:t>
            </w:r>
          </w:p>
          <w:p>
            <w:pPr>
              <w:pStyle w:val="null3"/>
              <w:spacing w:before="120" w:after="120"/>
              <w:jc w:val="both"/>
              <w:outlineLvl w:val="2"/>
            </w:pPr>
            <w:r>
              <w:rPr>
                <w:rFonts w:ascii="仿宋_GB2312" w:hAnsi="仿宋_GB2312" w:cs="仿宋_GB2312" w:eastAsia="仿宋_GB2312"/>
                <w:sz w:val="21"/>
                <w:b/>
              </w:rPr>
              <w:t>发包人承担违约责任，赔偿因其违约给承包人造成的经济损失，顺延延误的工期。双方在专用条款内约定发包人赔偿承包人损失的计算方法或者发包人应当支付违约金的数额和计算方法。</w:t>
            </w:r>
          </w:p>
          <w:p>
            <w:pPr>
              <w:pStyle w:val="null3"/>
              <w:spacing w:before="120" w:after="120"/>
              <w:jc w:val="both"/>
              <w:outlineLvl w:val="2"/>
            </w:pPr>
            <w:r>
              <w:rPr>
                <w:rFonts w:ascii="仿宋_GB2312" w:hAnsi="仿宋_GB2312" w:cs="仿宋_GB2312" w:eastAsia="仿宋_GB2312"/>
                <w:sz w:val="21"/>
                <w:b/>
              </w:rPr>
              <w:t>2</w:t>
            </w:r>
            <w:r>
              <w:rPr>
                <w:rFonts w:ascii="仿宋_GB2312" w:hAnsi="仿宋_GB2312" w:cs="仿宋_GB2312" w:eastAsia="仿宋_GB2312"/>
                <w:sz w:val="21"/>
                <w:b/>
              </w:rPr>
              <w:t>、承包人违约。当发生下列情况时：</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）因承包人原因不能按照协议书约定的竣工日期或工程师同意顺延的工期竣工；</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）因承包人原因工程质量达不到协议书约定的质量标准；</w:t>
            </w:r>
          </w:p>
          <w:p>
            <w:pPr>
              <w:pStyle w:val="null3"/>
              <w:spacing w:before="120" w:after="120"/>
              <w:jc w:val="both"/>
              <w:outlineLvl w:val="2"/>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）承包人不履行合同义务或不按合同约定履行义务的其他情况。</w:t>
            </w:r>
          </w:p>
          <w:p>
            <w:pPr>
              <w:pStyle w:val="null3"/>
              <w:spacing w:before="120" w:after="120"/>
              <w:jc w:val="both"/>
              <w:outlineLvl w:val="2"/>
            </w:pPr>
            <w:r>
              <w:rPr>
                <w:rFonts w:ascii="仿宋_GB2312" w:hAnsi="仿宋_GB2312" w:cs="仿宋_GB2312" w:eastAsia="仿宋_GB2312"/>
                <w:sz w:val="21"/>
                <w:b/>
              </w:rPr>
              <w:t>承包人承担违约责任，赔偿因其违约给发包人造成的损失。双方在专用条款内约定承包人赔偿发包人损失的计算方法或者承包人应当支付违约金的数额和计算方法。</w:t>
            </w:r>
          </w:p>
          <w:p>
            <w:pPr>
              <w:pStyle w:val="null3"/>
            </w:pPr>
            <w:r>
              <w:rPr>
                <w:rFonts w:ascii="仿宋_GB2312" w:hAnsi="仿宋_GB2312" w:cs="仿宋_GB2312" w:eastAsia="仿宋_GB2312"/>
                <w:sz w:val="21"/>
              </w:rPr>
              <w:t>一方违约后，另一方要求违约方继续履行合同时，违约方承担上述违约责任后仍应继续履行合同。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本项目采</w:t>
            </w:r>
            <w:r>
              <w:rPr>
                <w:rFonts w:ascii="仿宋_GB2312" w:hAnsi="仿宋_GB2312" w:cs="仿宋_GB2312" w:eastAsia="仿宋_GB2312"/>
                <w:sz w:val="21"/>
              </w:rPr>
              <w:t>购</w:t>
            </w:r>
            <w:r>
              <w:rPr>
                <w:rFonts w:ascii="仿宋_GB2312" w:hAnsi="仿宋_GB2312" w:cs="仿宋_GB2312" w:eastAsia="仿宋_GB2312"/>
                <w:sz w:val="21"/>
                <w:u w:val="single"/>
              </w:rPr>
              <w:t>水嘴、便器</w:t>
            </w:r>
            <w:r>
              <w:rPr>
                <w:rFonts w:ascii="仿宋_GB2312" w:hAnsi="仿宋_GB2312" w:cs="仿宋_GB2312" w:eastAsia="仿宋_GB2312"/>
                <w:sz w:val="21"/>
                <w:u w:val="single"/>
              </w:rPr>
              <w:t>（坐便器、蹲便器、小便器）</w:t>
            </w:r>
            <w:r>
              <w:rPr>
                <w:rFonts w:ascii="仿宋_GB2312" w:hAnsi="仿宋_GB2312" w:cs="仿宋_GB2312" w:eastAsia="仿宋_GB2312"/>
                <w:sz w:val="21"/>
              </w:rPr>
              <w:t>产</w:t>
            </w:r>
            <w:r>
              <w:rPr>
                <w:rFonts w:ascii="仿宋_GB2312" w:hAnsi="仿宋_GB2312" w:cs="仿宋_GB2312" w:eastAsia="仿宋_GB2312"/>
                <w:sz w:val="21"/>
              </w:rPr>
              <w:t>品属于节能产品政府采购品目清单中应强制采购的产品范围，供应商应当按照第六章强制、优先采购产品承诺函格式进行承诺，且具有国家确定的认证机构出具的处于有效期之内的中国节能产品认证证书，及中国政府采购网获证产品信息截图，否则作无效响应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满足国家行业相关标准及磋商文件相关要求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为综合单价合同，最终综合单价以最终总报价/首次总报价的比例等比例下浮。二、清单计价的综合单价包含但不限于完成该项工作所需的人工费、材料费、机械费、管理费、利润、运输费、安装费、缺陷修复费、其他费用以及合同明示或暗示的所有风险、责任和义务等全部费用。三、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二套（电子版文件二份含完整的电子文件PDF版本），纸质响应文件应通过专用制作软件直接打印，确保与项目电子化交易系统中的电子响应文件保持一致，不允许修改和补充。递交文件地点：西安市曲江新区杜陵西路中海曲江大城君尚府46幢10404号。四、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五、政府采购异常低价审查 1、采购人应当在采购文件中明确，政府采购评审中出现下列情形之一的，评审委员会应当启动异常低价投标(响应)审查程序: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3、各级财政部门应当加强对评审专家的指导和监管，进一步压实评审专家的责任。财政部门在投诉处理、监督检查中发现评审委员会未按规定对异常低价开展审查的，依法予以纠正并追究评审专家的法律责任。六、本项目不涉及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具有建设部门颁发的建筑装修装饰工程专业承包二级及以上资质；具备有效的安全生产许可证；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拟派项目经理具有建筑工程专业二级及以上注册建造师证，在本单位注册，具备有效的安全生产考核合格证书，且无在建工程；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投标人及项目经理基本信息在“陕西省住房和城乡建设厅”和“全国建筑市场监管公共服务平台”（http://jzsc.mohurd.gov.cn/home）可查询；</w:t>
            </w:r>
          </w:p>
        </w:tc>
        <w:tc>
          <w:tcPr>
            <w:tcW w:type="dxa" w:w="3322"/>
          </w:tcPr>
          <w:p>
            <w:pPr>
              <w:pStyle w:val="null3"/>
            </w:pPr>
            <w:r>
              <w:rPr>
                <w:rFonts w:ascii="仿宋_GB2312" w:hAnsi="仿宋_GB2312" w:cs="仿宋_GB2312" w:eastAsia="仿宋_GB2312"/>
              </w:rPr>
              <w:t>投标人及项目经理基本信息在“陕西省住房和城乡建设厅”和“全国建筑市场监管公共服务平台”（http://jzsc.mohurd.gov.cn/home）可查询；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首次响应文件进行初步审查，包括响应文件的有效性、完整性、响应性。除可变动的技术、服务要求以及合同草案条款外，首次提交的响应文件有下列情况之一，其响应文件无效，磋商小组应当告知有关供应商。 (1)未按照磋商文件规定要求签署、盖章的；(2)与项目的一致性：至少以下三处的项目名称、项目编号与本项目不一致： 1）响应文件封面 2）响应函 3）法定代表人（主要负责人）委托授权书/身份证明。（3）有多于一个有效报价，提交选择性报价，报价超过采购预算金额或最高限价。（4）投标文件内容不齐全、遗漏。（5）响应有效期不足的或无有效期的；（6）不满足招标文件中要求的工期、质量要求。（7）其他。完全理解并响应采购文件合同条款的要求，且未含有采购人不能接受的附加条件的。没有出现法律法规或招标文件规定的其他无效情形。</w:t>
            </w:r>
          </w:p>
        </w:tc>
        <w:tc>
          <w:tcPr>
            <w:tcW w:type="dxa" w:w="1661"/>
          </w:tcPr>
          <w:p>
            <w:pPr>
              <w:pStyle w:val="null3"/>
            </w:pPr>
            <w:r>
              <w:rPr>
                <w:rFonts w:ascii="仿宋_GB2312" w:hAnsi="仿宋_GB2312" w:cs="仿宋_GB2312" w:eastAsia="仿宋_GB2312"/>
              </w:rPr>
              <w:t>响应文件封面 已标价工程量清单 商务技术文件 报价函 标的清单 响应函 资格证明文件.docx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身份证明（法定代表人参加磋商时提供）或授权委托书（被授权人参加磋商时提供）合法有效，并提供法定代表人（法人参与投标时提供）或被授权人在开标日期前六个月内任意三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强制节能产品</w:t>
            </w:r>
          </w:p>
        </w:tc>
        <w:tc>
          <w:tcPr>
            <w:tcW w:type="dxa" w:w="3322"/>
          </w:tcPr>
          <w:p>
            <w:pPr>
              <w:pStyle w:val="null3"/>
            </w:pPr>
            <w:r>
              <w:rPr>
                <w:rFonts w:ascii="仿宋_GB2312" w:hAnsi="仿宋_GB2312" w:cs="仿宋_GB2312" w:eastAsia="仿宋_GB2312"/>
              </w:rPr>
              <w:t>本项目采购水嘴、便器（坐便器、蹲便器、小便器）产品属于节能产品政府采购品目清单中应强制采购的产品范围，供应商应当按照第六章强制、优先采购产品承诺函格式进行承诺，且具有国家确定的认证机构出具的处于有效期之内的中国节能产品认证证书，及中国政府采购网获证产品信息截图，否则作无效响应处理。</w:t>
            </w:r>
          </w:p>
        </w:tc>
        <w:tc>
          <w:tcPr>
            <w:tcW w:type="dxa" w:w="1661"/>
          </w:tcPr>
          <w:p>
            <w:pPr>
              <w:pStyle w:val="null3"/>
            </w:pPr>
            <w:r>
              <w:rPr>
                <w:rFonts w:ascii="仿宋_GB2312" w:hAnsi="仿宋_GB2312" w:cs="仿宋_GB2312" w:eastAsia="仿宋_GB2312"/>
              </w:rPr>
              <w:t>商务技术文件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针对本项目编制，符合项目实际情况及实施要求，内容详尽且涵盖角度全面，目标明确和可行性强，能够保障项目顺利实施的得7分；基本符合项目实际情况及实施要求，内容较详细，涵盖角度较全面，基本合理可行的得5分；基本符合项目实际情况及实施要求，但内容涵盖角度不全面且实施有难度的，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分析本项目进度目标及关键节点，同时针对关键节点、具体环节提出相应进度保障措施，并根据本项目的工期要求，提供全面的确保工程按期按质完成的进度计划安排。 整体进度安排（施工进度表或施工网络图）及各阶段进度保证措施内容合理、方案具体可行、完全符合要求得7分；内容较合理、方案可行性一般，基本符合要求得5分；内容有缺失、方案可行性较弱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安全文明施工措施计划、施工扬尘环境治理管理措施</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尘降噪等保证措施。安全文明、环保保证体系组织措施和控制点设置合理，内容合理、方案具体可行、完全符合要求得7分；内容较合理、方案可行性一般，基本符合要求得5分；内容有缺失、方案可行性较弱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确保本项目质量标准符合相关标准。内容合理、方案具体可行、完全符合要求得7分；内容较合理、方案可行性一般，基本符合要求得5分；内容有欠缺、方案可行性较弱、不能全面符合要求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设备和材料投入计划、及劳动力安排计划</w:t>
            </w:r>
          </w:p>
        </w:tc>
        <w:tc>
          <w:tcPr>
            <w:tcW w:type="dxa" w:w="2492"/>
          </w:tcPr>
          <w:p>
            <w:pPr>
              <w:pStyle w:val="null3"/>
            </w:pPr>
            <w:r>
              <w:rPr>
                <w:rFonts w:ascii="仿宋_GB2312" w:hAnsi="仿宋_GB2312" w:cs="仿宋_GB2312" w:eastAsia="仿宋_GB2312"/>
              </w:rPr>
              <w:t>根据供应商投入的设备和材料投入计划及劳动力安排计划等进行评审。设备投入合理，材料环保性好并提供来源证明材料、劳动力安排计划合理得7分；设备投入基本合理，材料环保性较好，劳动力安排计划一般得5分；设备和材料投入计划、劳动力安排计划有欠缺，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编制，符合项目实际情况及实施要求，内容详尽且涵盖角度全面，措施合理、可行性强，能够保障项目顺利实施的得7分；基本符合项目实际情况及实施要求，内容较详细，涵盖角度较全面，基本合理可行的得5分； 基本符合项目实际情况及实施要求，但内容涵盖角度不全面且实施有难度的，得3分，未提供不计分。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保修阶段的服务方案</w:t>
            </w:r>
          </w:p>
        </w:tc>
        <w:tc>
          <w:tcPr>
            <w:tcW w:type="dxa" w:w="2492"/>
          </w:tcPr>
          <w:p>
            <w:pPr>
              <w:pStyle w:val="null3"/>
            </w:pPr>
            <w:r>
              <w:rPr>
                <w:rFonts w:ascii="仿宋_GB2312" w:hAnsi="仿宋_GB2312" w:cs="仿宋_GB2312" w:eastAsia="仿宋_GB2312"/>
              </w:rPr>
              <w:t>方案针对本项目编制，符合项目实际情况及实施要求，内容详尽且涵盖角度全面，目标明确和可行性强，能够保障项目顺利实施的得7分；基本符合项目实际情况及实施要求，内容较详细，涵盖角度较全面，基本合理可行的得5分；基本符合项目实际情况及实施要求，但内容涵盖角度不全面且实施有难度的，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供应商2023年1月1日至今类似项目业绩；每提供1份计2分，最高得10分。业绩证明（时间以合同签订时间为准，须在响应文件中附合同协议书扫描件并加盖单位公章，证明材料不符合要求或未提供的均不得分）。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除本项目约定的强制优先采购产品外，供应商所投产品（包括但不限于施工所需主材产品、水、暖、电、水泥等施工所需的所 有基础材料）属于《环境标志产品政府采购品目清单》范围内，且具有国家确定的认证机构出具的处于有效期之内的中国环境标志产品认证证书，及中国政府采购网获证产品信息截图，每有一项得0.5分；所投产品属于《节能产品政府采购目录清单》范围内(政府强制采购产品除外)，且具有国家确定的认证机构出具的处于有效期之内的中国节能产品认证证书，及中国政府采购网获证产品信息截图，每有一项得0.5分；投标人所投产品中每有一项产品同时为节能产品和环境标志产品的得1分；以上认证证书不重复计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职称（2分）：项目经理具备中级及以上工程类职称得2分，其他情况不得分。以供应商提供的项目经理职称证书复印件或扫描件为准。2.项目经理学历（2分）：具有本科及以上学历得2分，其他情况不得分。以供应商提供的项目经理学历证书复印件或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人员岗位完整（项目组人员除项目负责人以外需配备：技术负责人、安全专职人员、质检人员、资料员、施工员。）以上人员配备齐全得3分，每配备增加一名得0.5分，最高加2分，技术负责人以中级及以上职称证为准，安全员以安全C证或岗位证为准，质检人员、资料员、施工员以岗位证书为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 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