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版本号：YCXM-202601620260423001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房屋租赁及物业</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YCXM-2026016</w:t>
      </w:r>
      <w:r>
        <w:br/>
      </w:r>
      <w:r>
        <w:br/>
      </w:r>
      <w:r>
        <w:br/>
      </w:r>
    </w:p>
    <w:p>
      <w:pPr>
        <w:pStyle w:val="null3"/>
        <w:jc w:val="center"/>
        <w:outlineLvl w:val="5"/>
      </w:pPr>
      <w:r>
        <w:rPr>
          <w:rFonts w:ascii="仿宋_GB2312" w:hAnsi="仿宋_GB2312" w:cs="仿宋_GB2312" w:eastAsia="仿宋_GB2312"/>
          <w:sz w:val="15"/>
          <w:b/>
        </w:rPr>
        <w:t>西安市碑林区司法局（本级）</w:t>
      </w:r>
    </w:p>
    <w:p>
      <w:pPr>
        <w:pStyle w:val="null3"/>
        <w:jc w:val="center"/>
        <w:outlineLvl w:val="5"/>
      </w:pPr>
      <w:r>
        <w:rPr>
          <w:rFonts w:ascii="仿宋_GB2312" w:hAnsi="仿宋_GB2312" w:cs="仿宋_GB2312" w:eastAsia="仿宋_GB2312"/>
          <w:sz w:val="15"/>
          <w:b/>
        </w:rPr>
        <w:t>陕西玥诚工程项目管理有限公司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西安市碑林区司法局（本级）</w:t>
      </w:r>
      <w:r>
        <w:rPr>
          <w:rFonts w:ascii="仿宋_GB2312" w:hAnsi="仿宋_GB2312" w:cs="仿宋_GB2312" w:eastAsia="仿宋_GB2312"/>
        </w:rPr>
        <w:t>委托，拟对</w:t>
      </w:r>
      <w:r>
        <w:rPr>
          <w:rFonts w:ascii="仿宋_GB2312" w:hAnsi="仿宋_GB2312" w:cs="仿宋_GB2312" w:eastAsia="仿宋_GB2312"/>
        </w:rPr>
        <w:t>房屋租赁及物业</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YCXM-2026016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房屋租赁及物业</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西安市碑林区司法局房屋租赁及物业</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采购包1（房屋租赁及物业）：属于专门面向中小企业采购。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协商全过程：供应商应授权合法的人员参加协商全过程，法定代表人授权代表参加协商的，须出具法定代表人授权委托书：法定代表人授权委托书（附法定代表人身份证复印件及被授权人身份证复印件）；法定代表人直接参加协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2、信用状况：供应商不得为“信用中国”、“中国政府采购网”、“中国执行信息公开网”中被列入重大税收违法失信主体名单、政府采购严重违法失信行为记录名单、失信被执行人名单的供应商。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4、财务状况：供应商需提供以下三种资料中的任意一种： 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pPr>
        <w:pStyle w:val="null3"/>
      </w:pPr>
      <w:r>
        <w:rPr>
          <w:rFonts w:ascii="仿宋_GB2312" w:hAnsi="仿宋_GB2312" w:cs="仿宋_GB2312" w:eastAsia="仿宋_GB2312"/>
        </w:rPr>
        <w:t>5、社保缴纳证明：提供自2025年4月1日以来已缴存的任意1个月的社会保障资金缴存单据或社保机构开具的社会保险参保缴费情况证明；依法不需要缴纳社会保障资金的供应商应提供相关证明文件。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2025年4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8、提供参加政府采购活动前三年内在经营活动中没有重大违法记录的书面声明：提供参加政府采购活动前三年内在经营活动中没有重大违法记录的书面声明，加盖供应商公章。</w:t>
      </w:r>
    </w:p>
    <w:p>
      <w:pPr>
        <w:pStyle w:val="null3"/>
      </w:pPr>
      <w:r>
        <w:rPr>
          <w:rFonts w:ascii="仿宋_GB2312" w:hAnsi="仿宋_GB2312" w:cs="仿宋_GB2312" w:eastAsia="仿宋_GB2312"/>
        </w:rPr>
        <w:t>9、中小企业声明函：中小企业声明填写完整</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西安市碑林区司法局（本级）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西安市碑林区东大街8号商联大厦5层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陈薏璐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029-89625287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西安市雁塔区莱安中心T710楼1006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18066718602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采购包1：1,501,471.80元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采购包1：1,501,471.80元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依据《国家计委关于印发招标代理服务收费管理暂行办法的通知》（计价格〔2002〕1980号）和国家发展改革委办公厅颁发的《关于招标代理服务收费有关问题的通知》（发改办价格〔2003〕857号）文件规定标准收取。具体收费金额将在成交公告中予以公布。 招标代理服务费缴纳账户： 账户名称：陕西玥诚工程项目管理有限公司 账户号码：61050173660000000647 开户银行：中国建设银行股份有限公司西安长缨东路支行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西安市碑林区司法局（本级）</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西安市碑林区司法局（本级）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西安市碑林区司法局房屋租赁及物业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1,501,471.80</w:t>
      </w:r>
    </w:p>
    <w:p>
      <w:pPr>
        <w:pStyle w:val="null3"/>
      </w:pPr>
      <w:r>
        <w:rPr>
          <w:rFonts w:ascii="仿宋_GB2312" w:hAnsi="仿宋_GB2312" w:cs="仿宋_GB2312" w:eastAsia="仿宋_GB2312"/>
        </w:rPr>
        <w:t>采购包最高限价（元）: 1,501,471.80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1,501,471.80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项目概况</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西安市碑林区司法局房屋租赁及物业，满足公共法律服务、法律援助、公证、调解、社区矫正、行政复议、司法行政办公。</w:t>
            </w:r>
          </w:p>
          <w:p>
            <w:pPr>
              <w:pStyle w:val="null3"/>
            </w:pPr>
            <w:r>
              <w:rPr>
                <w:rFonts w:ascii="仿宋_GB2312" w:hAnsi="仿宋_GB2312" w:cs="仿宋_GB2312" w:eastAsia="仿宋_GB2312"/>
                <w:sz w:val="21"/>
              </w:rPr>
              <w:t>2.</w:t>
            </w:r>
            <w:r>
              <w:rPr>
                <w:rFonts w:ascii="仿宋_GB2312" w:hAnsi="仿宋_GB2312" w:cs="仿宋_GB2312" w:eastAsia="仿宋_GB2312"/>
                <w:sz w:val="21"/>
              </w:rPr>
              <w:t>出租房屋位于东大街8号商联大厦5楼，面积：1961.17㎡</w:t>
            </w:r>
          </w:p>
          <w:p>
            <w:pPr>
              <w:pStyle w:val="null3"/>
              <w:jc w:val="both"/>
            </w:pP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应保证按合同约定时间提供房屋租赁，且供应商必须保证拥有该房屋合法出租权（提供相应证明资料）。</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须保证该房屋权属真实无争议，且房屋财产的共有人对出售、租赁无异议，房屋不存在抵押、查封等可能影响西安市碑林区司法局使用的情形。（提供承诺函）</w:t>
            </w:r>
          </w:p>
          <w:p>
            <w:pPr>
              <w:pStyle w:val="null3"/>
            </w:pPr>
            <w:r>
              <w:rPr>
                <w:rFonts w:ascii="仿宋_GB2312" w:hAnsi="仿宋_GB2312" w:cs="仿宋_GB2312" w:eastAsia="仿宋_GB2312"/>
                <w:sz w:val="21"/>
              </w:rPr>
              <w:t>3.</w:t>
            </w:r>
            <w:r>
              <w:rPr>
                <w:rFonts w:ascii="仿宋_GB2312" w:hAnsi="仿宋_GB2312" w:cs="仿宋_GB2312" w:eastAsia="仿宋_GB2312"/>
                <w:sz w:val="21"/>
              </w:rPr>
              <w:t>应确保出租的房屋符合建筑结构，设施设备符合建筑、消防、治安、卫生、环保、安全等使用要求。</w:t>
            </w:r>
          </w:p>
          <w:p>
            <w:pPr>
              <w:pStyle w:val="null3"/>
            </w:pPr>
            <w:r>
              <w:rPr>
                <w:rFonts w:ascii="仿宋_GB2312" w:hAnsi="仿宋_GB2312" w:cs="仿宋_GB2312" w:eastAsia="仿宋_GB2312"/>
                <w:sz w:val="21"/>
              </w:rPr>
              <w:t>4.本项目预算为一年预算，租赁及物业费1年1501471.8元，第二年、第三年合同根据第一年服务情况决定是否续签。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签订合同后，第一次付款，付款前乙方开具等额发票给甲方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年中第二次支付剩余款项，付款前乙方开具等额发票给甲方。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预算为房屋租金及物业费。2.成交供应商在采购结果发布后3个工作日内向代理机构提交纸质版响应文件以便于存档，响应文件正本1份，副本1份，与上传版一致，纸质响应文件均须A4纸打印，分别各自装订成册并编制目录和页码。成交纸质文件递交响应文件地点：西安市雁塔区莱安中心T710楼1006。 4.根据《陕西省财政厅关于进一步优化政府采购营商环境有关事项的通知》(陕财办采(2024)9号)及西安市财政局《西安市预算单位政府采购主体责任清单》要求，采购人要强化内部控制，进一步压缩采购合同签订周期，在中标(成交)通知书发出之日25日内，按照采购文件确定的事项与中标(成交)供应商签订采购合同。 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供应商应授权合法的人员参加协商全过程</w:t>
            </w:r>
          </w:p>
        </w:tc>
        <w:tc>
          <w:tcPr>
            <w:tcW w:type="dxa" w:w="3322"/>
          </w:tcPr>
          <w:p>
            <w:pPr>
              <w:pStyle w:val="null3"/>
            </w:pPr>
            <w:r>
              <w:rPr>
                <w:rFonts w:ascii="仿宋_GB2312" w:hAnsi="仿宋_GB2312" w:cs="仿宋_GB2312" w:eastAsia="仿宋_GB2312"/>
              </w:rPr>
              <w:t>供应商应授权合法的人员参加协商全过程，法定代表人授权代表参加协商的，须出具法定代表人授权委托书：法定代表人授权委托书（附法定代表人身份证复印件及被授权人身份证复印件）；法定代表人直接参加协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供应商不得为“信用中国”、“中国政府采购网”、“中国执行信息公开网”中被列入重大税收违法失信主体名单、政府采购严重违法失信行为记录名单、失信被执行人名单的供应商。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供应商需提供以下三种资料中的任意一种： 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提供自2025年4月1日以来已缴存的任意1个月的社会保障资金缴存单据或社保机构开具的社会保险参保缴费情况证明；依法不需要缴纳社会保障资金的供应商应提供相关证明文件。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提供自2025年4月1日以来已缴纳的任意1个月的依法缴纳税收的相关凭据(时间以税款所属日期为准)，凭据应有税务机关或代收机关的公章或业务专用章；依法免税或无须缴纳税收的供应商，应提供相应证明文件。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中小企业声明填写完整</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符合采购文件的格式要求无重大偏离</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服务要求偏离表.docx 报价表 资格证明材料.docx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