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版本号：SXLX26-02-042Z(F)20260511002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2026年中药饮片配送及售后服务项目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SXLX26-02-042Z(F)</w:t>
      </w:r>
      <w:r>
        <w:br/>
      </w:r>
      <w:r>
        <w:br/>
      </w:r>
      <w:r>
        <w:br/>
      </w:r>
    </w:p>
    <w:p>
      <w:pPr>
        <w:pStyle w:val="null3"/>
        <w:jc w:val="center"/>
        <w:outlineLvl w:val="2"/>
      </w:pPr>
      <w:r>
        <w:rPr>
          <w:rFonts w:ascii="仿宋_GB2312" w:hAnsi="仿宋_GB2312" w:cs="仿宋_GB2312" w:eastAsia="仿宋_GB2312"/>
          <w:sz w:val="28"/>
          <w:b/>
        </w:rPr>
        <w:t>西安市碑林区长乐坊社区卫生服务中心</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西安市碑林区长乐坊社区卫生服务中心</w:t>
      </w:r>
      <w:r>
        <w:rPr>
          <w:rFonts w:ascii="仿宋_GB2312" w:hAnsi="仿宋_GB2312" w:cs="仿宋_GB2312" w:eastAsia="仿宋_GB2312"/>
        </w:rPr>
        <w:t>委托，拟对</w:t>
      </w:r>
      <w:r>
        <w:rPr>
          <w:rFonts w:ascii="仿宋_GB2312" w:hAnsi="仿宋_GB2312" w:cs="仿宋_GB2312" w:eastAsia="仿宋_GB2312"/>
        </w:rPr>
        <w:t>2026年中药饮片配送及售后服务项目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SXLX26-02-042Z(F)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2026年中药饮片配送及售后服务项目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市碑林区长乐坊社区卫生服务中心2026年中药饮片配送及售后服务项目，旨在为社区居民提供优质、安全的中医药服务，涵盖治疗常见病、多发病及慢性病的中药材，确保药品质量符合国家标准。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采购包1（2026年中药饮片配送及售后服务项目）：属于专门面向中小企业采购。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1、特定资格要求：供应商为生产厂家的须提供合法有效的《药品生产许可证》；供应商为代理商的须提供合法有效的《药品经营许可证》。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西安市碑林区长乐坊社区卫生服务中心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西安市碑林区金花北路8号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029-82499988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陕西省西安市雁塔区雁翔路111号赛格·中京坊公寓A一单元二层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魏晴霏、王小琼、任甜、杜航、郑婧婧、王真、梁嘉峰、马彩霞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杨志刚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代理服务费收费标准：采购代理服务费依据《国家发展改革委关于进一步放开建设项目专业服务价格的通知》（发改价格〔2015〕299号）文件收取10000元整。 请将采购代理服务费汇至下列指定账户： 开户名称：陕西隆信项目管理有限公司 开 户 行：招商银行股份有限公司西安土门支行 账 号：129904064810902 财务部电话：029-88489979-8501 注：此服务费应计入报价中，但不需要单独开列。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西安市碑林区长乐坊社区卫生服务中心</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西安市碑林区长乐坊社区卫生服务中心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西安市碑林区长乐坊社区卫生服务中心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符合国家及行业现行验收标准要求。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联系人：魏晴霏、王小琼、任甜、杜航、郑婧婧、王真、梁嘉峰、马彩霞</w:t>
      </w:r>
    </w:p>
    <w:p>
      <w:pPr>
        <w:pStyle w:val="null3"/>
      </w:pPr>
      <w:r>
        <w:rPr>
          <w:rFonts w:ascii="仿宋_GB2312" w:hAnsi="仿宋_GB2312" w:cs="仿宋_GB2312" w:eastAsia="仿宋_GB2312"/>
        </w:rPr>
        <w:t>联系电话：029-88489979-8205</w:t>
      </w:r>
    </w:p>
    <w:p>
      <w:pPr>
        <w:pStyle w:val="null3"/>
      </w:pPr>
      <w:r>
        <w:rPr>
          <w:rFonts w:ascii="仿宋_GB2312" w:hAnsi="仿宋_GB2312" w:cs="仿宋_GB2312" w:eastAsia="仿宋_GB2312"/>
        </w:rPr>
        <w:t>地址：陕西省西安市雁塔区雁翔路111号赛格·中京坊公寓A一单元二层招标二部</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本项目为西安市碑林区长乐坊社区卫生服务中心2026年中药饮片配送及售后服务项目，旨在为社区居民提供优质、安全的中医药服务，涵盖治疗常见病、多发病及慢性病的中药材，确保药品质量符合国家标准。</w:t>
      </w:r>
      <w:r>
        <w:rPr>
          <w:rFonts w:ascii="仿宋_GB2312" w:hAnsi="仿宋_GB2312" w:cs="仿宋_GB2312" w:eastAsia="仿宋_GB2312"/>
          <w:sz w:val="21"/>
          <w:b/>
          <w:color w:val="333333"/>
          <w:shd w:fill="FFFFFF" w:val="clear"/>
        </w:rPr>
        <w:t>本项目所属行业为批发业。</w:t>
      </w:r>
      <w:r>
        <w:rPr>
          <w:rFonts w:ascii="仿宋_GB2312" w:hAnsi="仿宋_GB2312" w:cs="仿宋_GB2312" w:eastAsia="仿宋_GB2312"/>
          <w:sz w:val="21"/>
          <w:color w:val="333333"/>
          <w:shd w:fill="FFFFFF" w:val="clear"/>
        </w:rPr>
        <w:t>（从业人员</w:t>
      </w:r>
      <w:r>
        <w:rPr>
          <w:rFonts w:ascii="仿宋_GB2312" w:hAnsi="仿宋_GB2312" w:cs="仿宋_GB2312" w:eastAsia="仿宋_GB2312"/>
          <w:sz w:val="21"/>
          <w:color w:val="333333"/>
          <w:shd w:fill="FFFFFF" w:val="clear"/>
        </w:rPr>
        <w:t>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2026年中药饮片配送及售后服务项目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标的名称：2026年中药饮片配送及售后服务项目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服务内容</w:t>
            </w:r>
          </w:p>
          <w:p>
            <w:pPr>
              <w:pStyle w:val="null3"/>
              <w:jc w:val="left"/>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西安市碑林区长乐坊社区卫生服务中心</w:t>
            </w:r>
            <w:r>
              <w:rPr>
                <w:rFonts w:ascii="仿宋_GB2312" w:hAnsi="仿宋_GB2312" w:cs="仿宋_GB2312" w:eastAsia="仿宋_GB2312"/>
                <w:sz w:val="21"/>
                <w:b/>
                <w:color w:val="000000"/>
              </w:rPr>
              <w:t>2026年中药饮片配送品种目录</w:t>
            </w:r>
          </w:p>
          <w:tbl>
            <w:tblPr>
              <w:tblBorders>
                <w:top w:val="none" w:color="000000" w:sz="4"/>
                <w:left w:val="none" w:color="000000" w:sz="4"/>
                <w:bottom w:val="none" w:color="000000" w:sz="4"/>
                <w:right w:val="none" w:color="000000" w:sz="4"/>
                <w:insideH w:val="none"/>
                <w:insideV w:val="none"/>
              </w:tblBorders>
            </w:tblPr>
            <w:tblGrid>
              <w:gridCol w:w="349"/>
              <w:gridCol w:w="888"/>
              <w:gridCol w:w="1232"/>
              <w:gridCol w:w="704"/>
            </w:tblGrid>
            <w:tr>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8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药</w:t>
                  </w:r>
                  <w:r>
                    <w:rPr>
                      <w:rFonts w:ascii="仿宋_GB2312" w:hAnsi="仿宋_GB2312" w:cs="仿宋_GB2312" w:eastAsia="仿宋_GB2312"/>
                      <w:sz w:val="21"/>
                      <w:b/>
                      <w:color w:val="000000"/>
                    </w:rPr>
                    <w:t>名</w:t>
                  </w:r>
                </w:p>
              </w:tc>
              <w:tc>
                <w:tcPr>
                  <w:tcW w:type="dxa" w:w="1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最高单价限价（元）</w:t>
                  </w:r>
                </w:p>
              </w:tc>
              <w:tc>
                <w:tcPr>
                  <w:tcW w:type="dxa" w:w="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艾叶</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八角茴香</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盐巴戟天</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炒白扁豆</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豆蔻</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炒白果仁</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白花蛇舌草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白及</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炒蒺藜</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白茅根</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白前</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白头翁</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白薇</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白鲜皮</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437.3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白英</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炒柏子仁</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败酱草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板蓝根</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半枝莲</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薄荷</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绵萆薢</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萹蓄</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醋鳖甲</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盐补骨脂</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炒苍耳子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草豆蔻</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草果</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侧柏叶</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北柴胡</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222.1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蝉蜕</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麸炒白术</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炒槟榔</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麸炒苍术</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炒冬瓜子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炒谷芽</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炒芥子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麸炒芡实</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麸炒山药</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炒神曲</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炒桃仁</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炒栀子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麸炒枳壳</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37.6</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车前草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盐车前子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沉香</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赤芍</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赤小豆</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炒茺蔚子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川贝母</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5738.7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炒川楝子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穿心莲</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醋莪术</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醋甘遂</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346.7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醋五灵脂</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醋五味子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83.6</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醋香附</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大腹毛</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大蓟</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大青叶</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大枣</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淡竹叶</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灯心草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269.3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地肤子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地骨皮</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233.3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地龙</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381.3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地榆</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地榆炭</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丁香</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独活</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杜仲</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磁石</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煅龙骨</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537.3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煅牡蛎</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煅赭石</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法半夏</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番泻叶</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防风</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189.9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防己</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408.8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佛手</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茯神</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浮萍</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浮小麦</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覆盆子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241.3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甘草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干姜</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高良姜</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葛根</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钩藤</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烫狗脊</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枸杞子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谷精草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烫骨碎补</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瓜蒌</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绵马贯众</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醋龟甲</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222.7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海金沙</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206.7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海螵蛸</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海藻</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墨旱莲</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合欢花</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何首乌</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荷叶</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黑顺片</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大血藤</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厚朴</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虎杖</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花椒</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滑石</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化橘红</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槐花</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黄柏</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132.4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黄精</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黄连片</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757.3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黄芩</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黄芩炭</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炒火麻仁</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广藿香</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鸡内金</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鸡血藤</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姜半夏</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姜黄</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僵蚕</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焦山楂</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金钱草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金樱子肉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荆芥炭</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盐韭菜子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酒苁蓉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酒大黄</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菊花</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煨诃子肉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枯矾</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苦参</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炒苦杏仁</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蜜款冬花</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昆布</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炒莱菔子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莲须</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217.9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莲子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灵芝</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北刘寄奴</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龙胆</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242.9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龙眼肉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芦根</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鹿角霜</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路路通</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蜂房</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1857.3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麻黄</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麻黄根</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蔓荆子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芒硝</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猫爪草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醋没药</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193.6</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玫瑰花</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密蒙花</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蜜百部</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木蝴蝶</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木香</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木贼</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炒牛蒡子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酒女贞子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21.6</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藕节</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胖大海</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炮姜</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佩兰</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蜜枇杷叶</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千里光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千年健</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93.6</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前胡</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芡实</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茜草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290</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羌活</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325.3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秦艽</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秦皮</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青风藤</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青果</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醋青皮</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青葙子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149.6</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清半夏</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瞿麦</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23.6</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全蝎</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3432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人参片</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麸煨肉豆蔻</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肉桂</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醋乳香</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醋三棱</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三七（</w:t>
                  </w:r>
                  <w:r>
                    <w:rPr>
                      <w:rFonts w:ascii="仿宋_GB2312" w:hAnsi="仿宋_GB2312" w:cs="仿宋_GB2312" w:eastAsia="仿宋_GB2312"/>
                      <w:sz w:val="21"/>
                      <w:color w:val="000000"/>
                    </w:rPr>
                    <w:t>60头）</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三七（</w:t>
                  </w:r>
                  <w:r>
                    <w:rPr>
                      <w:rFonts w:ascii="仿宋_GB2312" w:hAnsi="仿宋_GB2312" w:cs="仿宋_GB2312" w:eastAsia="仿宋_GB2312"/>
                      <w:sz w:val="21"/>
                      <w:color w:val="000000"/>
                    </w:rPr>
                    <w:t>80头）</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三七粉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314.8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桑白皮</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桑寄生</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桑螵蛸</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1629.3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桑椹</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桑叶</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桑枝</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北沙参</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砂仁</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239.3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山豆根</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蛇床子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蛇蜕</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395.5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射干</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伸筋草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升麻</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大黄</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生地黄炭</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龙骨</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510.7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麦芽</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牡蛎</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蒲黄</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栀子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石菖蒲</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生石膏</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石斛</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322.5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石决明</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石韦</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柿蒂</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105.6</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首乌藤</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熟大黄</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熟地黄</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丝瓜络</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苏木</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酸枣仁</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烫水蛭</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1401.3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天冬</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天麻</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306.7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铁皮石斛</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葶苈子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透骨草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土鳖虫</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土茯苓</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盐菟丝子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煅瓦楞子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炒王不留行</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威灵仙</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乌梅</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乌药</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制吴茱萸</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蜈蚣</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1条</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五倍子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342.1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五加皮</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西洋参</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825.3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豨莶草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细辛</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934.7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仙茅</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199.9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香薷</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香橼</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盐小茴香</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小蓟</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薤白</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辛夷</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233.3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徐长卿</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续断</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蜜旋覆花</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醋延胡索</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野菊花</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益母草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盐益智仁</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茵陈</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银柴胡</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炙淫羊藿</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鱼腥草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玉米须</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玉竹</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醋郁金</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郁李仁</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月季花</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皂角刺</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泽兰</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浙贝母</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193.3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珍珠母</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知母</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麸炒枳实</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制川乌</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制天南星</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制远志</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471.5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蜜麻黄</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猪苓</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313.3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紫草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241.2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紫花地丁</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紫石英</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紫苏叶</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紫苏梗</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炒紫苏子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蜜紫菀</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棕榈炭</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bl>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本次</w:t>
            </w:r>
            <w:r>
              <w:rPr>
                <w:rFonts w:ascii="仿宋_GB2312" w:hAnsi="仿宋_GB2312" w:cs="仿宋_GB2312" w:eastAsia="仿宋_GB2312"/>
                <w:sz w:val="21"/>
                <w:color w:val="000000"/>
              </w:rPr>
              <w:t>配送</w:t>
            </w:r>
            <w:r>
              <w:rPr>
                <w:rFonts w:ascii="仿宋_GB2312" w:hAnsi="仿宋_GB2312" w:cs="仿宋_GB2312" w:eastAsia="仿宋_GB2312"/>
                <w:sz w:val="21"/>
                <w:color w:val="000000"/>
              </w:rPr>
              <w:t>中药饮片具体采购数额以当年实际结算为准，但不得超过年度总预算。</w:t>
            </w:r>
          </w:p>
          <w:p>
            <w:pPr>
              <w:pStyle w:val="null3"/>
            </w:pPr>
            <w:r>
              <w:rPr>
                <w:rFonts w:ascii="仿宋_GB2312" w:hAnsi="仿宋_GB2312" w:cs="仿宋_GB2312" w:eastAsia="仿宋_GB2312"/>
                <w:sz w:val="21"/>
                <w:b/>
              </w:rPr>
              <w:t>二、</w:t>
            </w:r>
            <w:r>
              <w:rPr>
                <w:rFonts w:ascii="仿宋_GB2312" w:hAnsi="仿宋_GB2312" w:cs="仿宋_GB2312" w:eastAsia="仿宋_GB2312"/>
                <w:sz w:val="21"/>
                <w:b/>
              </w:rPr>
              <w:t>配送服务内容</w:t>
            </w:r>
          </w:p>
          <w:p>
            <w:pPr>
              <w:pStyle w:val="null3"/>
              <w:ind w:firstLine="420"/>
              <w:jc w:val="left"/>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中药饮片</w:t>
            </w:r>
            <w:r>
              <w:rPr>
                <w:rFonts w:ascii="仿宋_GB2312" w:hAnsi="仿宋_GB2312" w:cs="仿宋_GB2312" w:eastAsia="仿宋_GB2312"/>
                <w:sz w:val="21"/>
                <w:b/>
                <w:color w:val="000000"/>
              </w:rPr>
              <w:t>质量要求</w:t>
            </w:r>
          </w:p>
          <w:p>
            <w:pPr>
              <w:pStyle w:val="null3"/>
              <w:ind w:firstLine="420"/>
              <w:jc w:val="left"/>
            </w:pPr>
            <w:r>
              <w:rPr>
                <w:rFonts w:ascii="仿宋_GB2312" w:hAnsi="仿宋_GB2312" w:cs="仿宋_GB2312" w:eastAsia="仿宋_GB2312"/>
                <w:sz w:val="21"/>
                <w:color w:val="000000"/>
              </w:rPr>
              <w:t>1.1饮片外观整洁，不得出现碎颗粒太多，药材不得出现虫蛀、霉变、走油酸败等现象。有效成分、含水量、杂质、灰分、非药用部位、辅料、重金属含量、农药残留量等应符合《中华人民共和国药品管理法》、《中华人民共和国药品管理法实施条例》、《中华人民共和国药典》（2025年版）、《中华人民共和国药典临床用药须知（中药饮片卷）》（2015年版）及《陕西省中药饮片标准》,若在本项目合同执行中有新标准施行,则按新标准执行合同。所供应的中药饮片必须符合国家药品质量标准，经检验质量合格。应随货附加盖单位公章的检验报告书（按要求全检），对特许生产和经营的中药饮片符合国家相关文件要求。如发现有以上质量问题，给采购人造成的损失由供应商承担全部责任。</w:t>
            </w:r>
          </w:p>
          <w:p>
            <w:pPr>
              <w:pStyle w:val="null3"/>
              <w:ind w:firstLine="420"/>
              <w:jc w:val="left"/>
            </w:pPr>
            <w:r>
              <w:rPr>
                <w:rFonts w:ascii="仿宋_GB2312" w:hAnsi="仿宋_GB2312" w:cs="仿宋_GB2312" w:eastAsia="仿宋_GB2312"/>
                <w:sz w:val="21"/>
                <w:color w:val="000000"/>
              </w:rPr>
              <w:t>1.2供应商提供的中药饮片性能稳定，产品进货渠道正规，</w:t>
            </w:r>
            <w:r>
              <w:rPr>
                <w:rFonts w:ascii="仿宋_GB2312" w:hAnsi="仿宋_GB2312" w:cs="仿宋_GB2312" w:eastAsia="仿宋_GB2312"/>
                <w:sz w:val="21"/>
                <w:color w:val="000000"/>
              </w:rPr>
              <w:t>中药饮片</w:t>
            </w:r>
            <w:r>
              <w:rPr>
                <w:rFonts w:ascii="仿宋_GB2312" w:hAnsi="仿宋_GB2312" w:cs="仿宋_GB2312" w:eastAsia="仿宋_GB2312"/>
                <w:sz w:val="21"/>
                <w:color w:val="000000"/>
              </w:rPr>
              <w:t>质量不低于供应商提供的样品质量。</w:t>
            </w:r>
          </w:p>
          <w:p>
            <w:pPr>
              <w:pStyle w:val="null3"/>
              <w:ind w:firstLine="420"/>
              <w:jc w:val="left"/>
            </w:pPr>
            <w:r>
              <w:rPr>
                <w:rFonts w:ascii="仿宋_GB2312" w:hAnsi="仿宋_GB2312" w:cs="仿宋_GB2312" w:eastAsia="仿宋_GB2312"/>
                <w:sz w:val="21"/>
              </w:rPr>
              <w:t>1.3</w:t>
            </w:r>
            <w:r>
              <w:rPr>
                <w:rFonts w:ascii="仿宋_GB2312" w:hAnsi="仿宋_GB2312" w:cs="仿宋_GB2312" w:eastAsia="仿宋_GB2312"/>
                <w:sz w:val="21"/>
              </w:rPr>
              <w:t>供应商保证所</w:t>
            </w:r>
            <w:r>
              <w:rPr>
                <w:rFonts w:ascii="仿宋_GB2312" w:hAnsi="仿宋_GB2312" w:cs="仿宋_GB2312" w:eastAsia="仿宋_GB2312"/>
                <w:sz w:val="21"/>
              </w:rPr>
              <w:t>配送</w:t>
            </w:r>
            <w:r>
              <w:rPr>
                <w:rFonts w:ascii="仿宋_GB2312" w:hAnsi="仿宋_GB2312" w:cs="仿宋_GB2312" w:eastAsia="仿宋_GB2312"/>
                <w:sz w:val="21"/>
              </w:rPr>
              <w:t>的中药饮片到货入库的剩余有效期不少于一年，并保证有效期内的中药饮片质量，所提供的中</w:t>
            </w:r>
            <w:r>
              <w:rPr>
                <w:rFonts w:ascii="仿宋_GB2312" w:hAnsi="仿宋_GB2312" w:cs="仿宋_GB2312" w:eastAsia="仿宋_GB2312"/>
                <w:sz w:val="21"/>
              </w:rPr>
              <w:t>药饮片包</w:t>
            </w:r>
            <w:r>
              <w:rPr>
                <w:rFonts w:ascii="仿宋_GB2312" w:hAnsi="仿宋_GB2312" w:cs="仿宋_GB2312" w:eastAsia="仿宋_GB2312"/>
                <w:sz w:val="21"/>
              </w:rPr>
              <w:t>含</w:t>
            </w:r>
            <w:r>
              <w:rPr>
                <w:rFonts w:ascii="仿宋_GB2312" w:hAnsi="仿宋_GB2312" w:cs="仿宋_GB2312" w:eastAsia="仿宋_GB2312"/>
                <w:sz w:val="21"/>
              </w:rPr>
              <w:t>调剂服务</w:t>
            </w:r>
            <w:r>
              <w:rPr>
                <w:rFonts w:ascii="仿宋_GB2312" w:hAnsi="仿宋_GB2312" w:cs="仿宋_GB2312" w:eastAsia="仿宋_GB2312"/>
                <w:sz w:val="21"/>
              </w:rPr>
              <w:t>、</w:t>
            </w:r>
            <w:r>
              <w:rPr>
                <w:rFonts w:ascii="仿宋_GB2312" w:hAnsi="仿宋_GB2312" w:cs="仿宋_GB2312" w:eastAsia="仿宋_GB2312"/>
                <w:sz w:val="21"/>
              </w:rPr>
              <w:t>煎煮服务</w:t>
            </w:r>
            <w:r>
              <w:rPr>
                <w:rFonts w:ascii="仿宋_GB2312" w:hAnsi="仿宋_GB2312" w:cs="仿宋_GB2312" w:eastAsia="仿宋_GB2312"/>
                <w:sz w:val="21"/>
              </w:rPr>
              <w:t>等</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代煎中药必须符合国家和主管部门的相关标准和质量要求，所使用的场地、设备、包装材料、环境卫生和煎药人员资质等须达到</w:t>
            </w:r>
            <w:r>
              <w:rPr>
                <w:rFonts w:ascii="仿宋_GB2312" w:hAnsi="仿宋_GB2312" w:cs="仿宋_GB2312" w:eastAsia="仿宋_GB2312"/>
                <w:sz w:val="21"/>
                <w:b/>
              </w:rPr>
              <w:t>《医疗机构中药煎药室管理规范》</w:t>
            </w:r>
            <w:r>
              <w:rPr>
                <w:rFonts w:ascii="仿宋_GB2312" w:hAnsi="仿宋_GB2312" w:cs="仿宋_GB2312" w:eastAsia="仿宋_GB2312"/>
                <w:sz w:val="21"/>
              </w:rPr>
              <w:t>的相应标准和《中药煎药机》、《中药汤剂包装机》等行业标准。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三废处理：供应商代煎中药三废处理须符合国家及环保部门相关规定，若有违反，由供应商承担一切责任。</w:t>
            </w:r>
          </w:p>
          <w:p>
            <w:pPr>
              <w:pStyle w:val="null3"/>
              <w:ind w:firstLine="420"/>
              <w:jc w:val="left"/>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包装及运输要求：</w:t>
            </w:r>
          </w:p>
          <w:p>
            <w:pPr>
              <w:pStyle w:val="null3"/>
              <w:ind w:firstLine="420"/>
              <w:jc w:val="left"/>
            </w:pPr>
            <w:r>
              <w:rPr>
                <w:rFonts w:ascii="仿宋_GB2312" w:hAnsi="仿宋_GB2312" w:cs="仿宋_GB2312" w:eastAsia="仿宋_GB2312"/>
                <w:sz w:val="21"/>
                <w:color w:val="000000"/>
              </w:rPr>
              <w:t>中药饮片必须包装严密，包装袋（箱）应干净、结实、无破损、封口严密，支持储存、运输和使用，</w:t>
            </w:r>
            <w:r>
              <w:rPr>
                <w:rFonts w:ascii="仿宋_GB2312" w:hAnsi="仿宋_GB2312" w:cs="仿宋_GB2312" w:eastAsia="仿宋_GB2312"/>
                <w:sz w:val="21"/>
                <w:color w:val="000000"/>
              </w:rPr>
              <w:t>包装材料应符合国家</w:t>
            </w:r>
            <w:r>
              <w:rPr>
                <w:rFonts w:ascii="仿宋_GB2312" w:hAnsi="仿宋_GB2312" w:cs="仿宋_GB2312" w:eastAsia="仿宋_GB2312"/>
                <w:sz w:val="21"/>
                <w:color w:val="000000"/>
              </w:rPr>
              <w:t>药品监督管理局</w:t>
            </w:r>
            <w:r>
              <w:rPr>
                <w:rFonts w:ascii="仿宋_GB2312" w:hAnsi="仿宋_GB2312" w:cs="仿宋_GB2312" w:eastAsia="仿宋_GB2312"/>
                <w:sz w:val="21"/>
                <w:color w:val="000000"/>
              </w:rPr>
              <w:t>《国家药品包装容器（材料）标准》</w:t>
            </w:r>
            <w:r>
              <w:rPr>
                <w:rFonts w:ascii="仿宋_GB2312" w:hAnsi="仿宋_GB2312" w:cs="仿宋_GB2312" w:eastAsia="仿宋_GB2312"/>
                <w:sz w:val="21"/>
                <w:color w:val="000000"/>
              </w:rPr>
              <w:t>，</w:t>
            </w:r>
            <w:r>
              <w:rPr>
                <w:rFonts w:ascii="仿宋_GB2312" w:hAnsi="仿宋_GB2312" w:cs="仿宋_GB2312" w:eastAsia="仿宋_GB2312"/>
                <w:sz w:val="21"/>
                <w:color w:val="000000"/>
              </w:rPr>
              <w:t>包装应适应于远距离运输、防潮、防震、防锈和防野蛮装卸，以确保产品安全无损运抵指定地点。</w:t>
            </w:r>
          </w:p>
          <w:p>
            <w:pPr>
              <w:pStyle w:val="null3"/>
              <w:ind w:firstLine="420"/>
              <w:jc w:val="left"/>
            </w:pPr>
            <w:r>
              <w:rPr>
                <w:rFonts w:ascii="仿宋_GB2312" w:hAnsi="仿宋_GB2312" w:cs="仿宋_GB2312" w:eastAsia="仿宋_GB2312"/>
                <w:sz w:val="21"/>
                <w:b/>
                <w:color w:val="000000"/>
              </w:rPr>
              <w:t>4.</w:t>
            </w:r>
            <w:r>
              <w:rPr>
                <w:rFonts w:ascii="仿宋_GB2312" w:hAnsi="仿宋_GB2312" w:cs="仿宋_GB2312" w:eastAsia="仿宋_GB2312"/>
                <w:sz w:val="21"/>
                <w:b/>
                <w:color w:val="000000"/>
              </w:rPr>
              <w:t>规格要求：</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能供应多种包装规格（包装：</w:t>
            </w:r>
            <w:r>
              <w:rPr>
                <w:rFonts w:ascii="仿宋_GB2312" w:hAnsi="仿宋_GB2312" w:cs="仿宋_GB2312" w:eastAsia="仿宋_GB2312"/>
                <w:sz w:val="21"/>
                <w:color w:val="000000"/>
              </w:rPr>
              <w:t>0.2、0.5、1kg等），满足采购人临床需求。</w:t>
            </w:r>
          </w:p>
          <w:p>
            <w:pPr>
              <w:pStyle w:val="null3"/>
              <w:ind w:firstLine="420"/>
              <w:jc w:val="left"/>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样品要求</w:t>
            </w:r>
          </w:p>
          <w:p>
            <w:pPr>
              <w:pStyle w:val="null3"/>
              <w:ind w:firstLine="420"/>
              <w:jc w:val="left"/>
            </w:pPr>
            <w:r>
              <w:rPr>
                <w:rFonts w:ascii="仿宋_GB2312" w:hAnsi="仿宋_GB2312" w:cs="仿宋_GB2312" w:eastAsia="仿宋_GB2312"/>
                <w:sz w:val="21"/>
                <w:color w:val="000000"/>
              </w:rPr>
              <w:t>5.1为保证质量，</w:t>
            </w:r>
            <w:r>
              <w:rPr>
                <w:rFonts w:ascii="仿宋_GB2312" w:hAnsi="仿宋_GB2312" w:cs="仿宋_GB2312" w:eastAsia="仿宋_GB2312"/>
                <w:sz w:val="21"/>
                <w:color w:val="000000"/>
              </w:rPr>
              <w:t>供应商响应</w:t>
            </w:r>
            <w:r>
              <w:rPr>
                <w:rFonts w:ascii="仿宋_GB2312" w:hAnsi="仿宋_GB2312" w:cs="仿宋_GB2312" w:eastAsia="仿宋_GB2312"/>
                <w:sz w:val="21"/>
                <w:color w:val="000000"/>
              </w:rPr>
              <w:t>时应提供以下样品（</w:t>
            </w:r>
            <w:r>
              <w:rPr>
                <w:rFonts w:ascii="仿宋_GB2312" w:hAnsi="仿宋_GB2312" w:cs="仿宋_GB2312" w:eastAsia="仿宋_GB2312"/>
                <w:sz w:val="21"/>
                <w:color w:val="000000"/>
              </w:rPr>
              <w:t>23种）：百合、防风、甘草、枸杞子、葶苈子、通草、五味子、薄荷、红花、厚朴、肉桂、蜜旋覆花、麸炒枳壳、黄连片、黄芪、炒火麻仁、金银花、酒萸肉、菊花、蜜桑白皮、当归、煅龙骨、酸枣仁。每个样品最多按100g提供。</w:t>
            </w:r>
          </w:p>
          <w:p>
            <w:pPr>
              <w:pStyle w:val="null3"/>
              <w:ind w:firstLine="420"/>
              <w:jc w:val="left"/>
            </w:pPr>
            <w:r>
              <w:rPr>
                <w:rFonts w:ascii="仿宋_GB2312" w:hAnsi="仿宋_GB2312" w:cs="仿宋_GB2312" w:eastAsia="仿宋_GB2312"/>
                <w:sz w:val="21"/>
                <w:color w:val="000000"/>
              </w:rPr>
              <w:t>5.2样品包装表面必须粘贴有明确的标识，标识内容至少应包括：中药饮片的标签应当注明产品属性、品名、规格、中药材产地、生产企业、产品批号、生产日期、装量、保质期、执行标准、贮藏条件等。</w:t>
            </w:r>
          </w:p>
          <w:p>
            <w:pPr>
              <w:pStyle w:val="null3"/>
              <w:ind w:firstLine="420"/>
              <w:jc w:val="both"/>
            </w:pPr>
            <w:r>
              <w:rPr>
                <w:rFonts w:ascii="仿宋_GB2312" w:hAnsi="仿宋_GB2312" w:cs="仿宋_GB2312" w:eastAsia="仿宋_GB2312"/>
                <w:sz w:val="21"/>
              </w:rPr>
              <w:t>5.3样</w:t>
            </w:r>
            <w:r>
              <w:rPr>
                <w:rFonts w:ascii="仿宋_GB2312" w:hAnsi="仿宋_GB2312" w:cs="仿宋_GB2312" w:eastAsia="仿宋_GB2312"/>
                <w:sz w:val="21"/>
              </w:rPr>
              <w:t>品质量符合磋商文件中的质量要求，并按磋商文件要求附带相关质检报告。</w:t>
            </w:r>
            <w:r>
              <w:rPr>
                <w:rFonts w:ascii="仿宋_GB2312" w:hAnsi="仿宋_GB2312" w:cs="仿宋_GB2312" w:eastAsia="仿宋_GB2312"/>
                <w:sz w:val="21"/>
              </w:rPr>
              <w:t>23种样品的质检报告按顺序装订成册，不允许活页夹装，由于装订原因造成文件的散落、丢失等由供应商自行承担责任。</w:t>
            </w:r>
          </w:p>
          <w:p>
            <w:pPr>
              <w:pStyle w:val="null3"/>
              <w:ind w:firstLine="420"/>
              <w:jc w:val="left"/>
            </w:pPr>
            <w:r>
              <w:rPr>
                <w:rFonts w:ascii="仿宋_GB2312" w:hAnsi="仿宋_GB2312" w:cs="仿宋_GB2312" w:eastAsia="仿宋_GB2312"/>
                <w:sz w:val="21"/>
                <w:color w:val="000000"/>
              </w:rPr>
              <w:t>5.4样品必须密封提交，在响应文件递交当天递交截止时间前送至陕西省西安市雁塔区雁翔路111号赛格·中京坊公寓A一单元二层第二会议室。</w:t>
            </w:r>
          </w:p>
          <w:p>
            <w:pPr>
              <w:pStyle w:val="null3"/>
              <w:ind w:firstLine="422"/>
              <w:jc w:val="left"/>
            </w:pPr>
            <w:r>
              <w:rPr>
                <w:rFonts w:ascii="仿宋_GB2312" w:hAnsi="仿宋_GB2312" w:cs="仿宋_GB2312" w:eastAsia="仿宋_GB2312"/>
                <w:sz w:val="21"/>
                <w:b/>
                <w:color w:val="000000"/>
              </w:rPr>
              <w:t>6.配送要求</w:t>
            </w:r>
          </w:p>
          <w:p>
            <w:pPr>
              <w:pStyle w:val="null3"/>
              <w:ind w:firstLine="420"/>
              <w:jc w:val="left"/>
            </w:pPr>
            <w:r>
              <w:rPr>
                <w:rFonts w:ascii="仿宋_GB2312" w:hAnsi="仿宋_GB2312" w:cs="仿宋_GB2312" w:eastAsia="仿宋_GB2312"/>
                <w:sz w:val="21"/>
              </w:rPr>
              <w:t>6</w:t>
            </w:r>
            <w:r>
              <w:rPr>
                <w:rFonts w:ascii="仿宋_GB2312" w:hAnsi="仿宋_GB2312" w:cs="仿宋_GB2312" w:eastAsia="仿宋_GB2312"/>
                <w:sz w:val="21"/>
              </w:rPr>
              <w:t>.1供应商</w:t>
            </w:r>
            <w:r>
              <w:rPr>
                <w:rFonts w:ascii="仿宋_GB2312" w:hAnsi="仿宋_GB2312" w:cs="仿宋_GB2312" w:eastAsia="仿宋_GB2312"/>
                <w:sz w:val="21"/>
              </w:rPr>
              <w:t>应建立健全配送服务的相关配套设施及相关管理规范，确保</w:t>
            </w:r>
            <w:r>
              <w:rPr>
                <w:rFonts w:ascii="仿宋_GB2312" w:hAnsi="仿宋_GB2312" w:cs="仿宋_GB2312" w:eastAsia="仿宋_GB2312"/>
                <w:sz w:val="21"/>
              </w:rPr>
              <w:t>中药</w:t>
            </w:r>
            <w:r>
              <w:rPr>
                <w:rFonts w:ascii="仿宋_GB2312" w:hAnsi="仿宋_GB2312" w:cs="仿宋_GB2312" w:eastAsia="仿宋_GB2312"/>
                <w:sz w:val="21"/>
              </w:rPr>
              <w:t>饮片以及代煎中药配送过程质量</w:t>
            </w:r>
            <w:r>
              <w:rPr>
                <w:rFonts w:ascii="仿宋_GB2312" w:hAnsi="仿宋_GB2312" w:cs="仿宋_GB2312" w:eastAsia="仿宋_GB2312"/>
                <w:sz w:val="21"/>
              </w:rPr>
              <w:t>及</w:t>
            </w:r>
            <w:r>
              <w:rPr>
                <w:rFonts w:ascii="仿宋_GB2312" w:hAnsi="仿宋_GB2312" w:cs="仿宋_GB2312" w:eastAsia="仿宋_GB2312"/>
                <w:sz w:val="21"/>
              </w:rPr>
              <w:t>时效性。</w:t>
            </w:r>
          </w:p>
          <w:p>
            <w:pPr>
              <w:pStyle w:val="null3"/>
              <w:ind w:firstLine="420"/>
              <w:jc w:val="left"/>
            </w:pPr>
            <w:r>
              <w:rPr>
                <w:rFonts w:ascii="仿宋_GB2312" w:hAnsi="仿宋_GB2312" w:cs="仿宋_GB2312" w:eastAsia="仿宋_GB2312"/>
                <w:sz w:val="21"/>
                <w:color w:val="000000"/>
              </w:rPr>
              <w:t>6.2供应商应严格按照本项目采购合同约定开展配送，遇特殊情况确需更改配送方式的，应由采购人同意后实施。</w:t>
            </w:r>
          </w:p>
          <w:p>
            <w:pPr>
              <w:pStyle w:val="null3"/>
              <w:ind w:firstLine="420"/>
              <w:jc w:val="left"/>
            </w:pPr>
            <w:r>
              <w:rPr>
                <w:rFonts w:ascii="仿宋_GB2312" w:hAnsi="仿宋_GB2312" w:cs="仿宋_GB2312" w:eastAsia="仿宋_GB2312"/>
                <w:sz w:val="21"/>
                <w:color w:val="000000"/>
              </w:rPr>
              <w:t>6.3供应商按照采购人要求的配送计划进行配送，供应商应自接到采购人配送通知之时起48小时内配送，最长不超过72小时，急需药品24小时内配送到位。</w:t>
            </w:r>
          </w:p>
          <w:p>
            <w:pPr>
              <w:pStyle w:val="null3"/>
              <w:ind w:firstLine="420"/>
              <w:jc w:val="left"/>
            </w:pPr>
            <w:r>
              <w:rPr>
                <w:rFonts w:ascii="仿宋_GB2312" w:hAnsi="仿宋_GB2312" w:cs="仿宋_GB2312" w:eastAsia="仿宋_GB2312"/>
                <w:sz w:val="21"/>
                <w:color w:val="000000"/>
              </w:rPr>
              <w:t>6.4接到采购人通知后在指定的时间和地点交付质量、包装、产地、有效期等均符合条件的中药饮片。配送时供应商需提供送货单，并由供应商安排的配送人员与采购人接收人员当面做好配送产品的交接工作，送货单及产品数据记录均需由供应商配送人员与采购人接收人员双方签字确认。</w:t>
            </w:r>
          </w:p>
          <w:p>
            <w:pPr>
              <w:pStyle w:val="null3"/>
              <w:ind w:firstLine="420"/>
              <w:jc w:val="left"/>
            </w:pPr>
            <w:r>
              <w:rPr>
                <w:rFonts w:ascii="仿宋_GB2312" w:hAnsi="仿宋_GB2312" w:cs="仿宋_GB2312" w:eastAsia="仿宋_GB2312"/>
                <w:sz w:val="21"/>
                <w:color w:val="000000"/>
              </w:rPr>
              <w:t>6.5</w:t>
            </w:r>
            <w:r>
              <w:rPr>
                <w:rFonts w:ascii="仿宋_GB2312" w:hAnsi="仿宋_GB2312" w:cs="仿宋_GB2312" w:eastAsia="仿宋_GB2312"/>
                <w:sz w:val="21"/>
                <w:color w:val="000000"/>
              </w:rPr>
              <w:t>产品运输到采购人指定地点卸货并存放，卸货由供应商负责并承担费用。</w:t>
            </w:r>
          </w:p>
          <w:p>
            <w:pPr>
              <w:pStyle w:val="null3"/>
              <w:spacing w:after="105"/>
            </w:pPr>
            <w:r>
              <w:rPr>
                <w:rFonts w:ascii="仿宋_GB2312" w:hAnsi="仿宋_GB2312" w:cs="仿宋_GB2312" w:eastAsia="仿宋_GB2312"/>
                <w:sz w:val="21"/>
                <w:b/>
              </w:rPr>
              <w:t>三、售后服务</w:t>
            </w:r>
            <w:r>
              <w:rPr>
                <w:rFonts w:ascii="仿宋_GB2312" w:hAnsi="仿宋_GB2312" w:cs="仿宋_GB2312" w:eastAsia="仿宋_GB2312"/>
                <w:sz w:val="21"/>
                <w:b/>
              </w:rPr>
              <w:t>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采购人在临床使用中发现药品不符合质量要求（含出现严重的临床反应时），需要进行药品质量检验，应及时以书面形式将质量检验要求通知供应商。如果检验证明药品存在质量问题，则检验费用由供应商承担，供应商应在</w:t>
            </w:r>
            <w:r>
              <w:rPr>
                <w:rFonts w:ascii="仿宋_GB2312" w:hAnsi="仿宋_GB2312" w:cs="仿宋_GB2312" w:eastAsia="仿宋_GB2312"/>
                <w:sz w:val="21"/>
                <w:color w:val="000000"/>
              </w:rPr>
              <w:t>5个工作日内进行更换、补充，不得影响采购人的临床用药，且采购人有权要求供应商承担相应责任和损失。情节严重的采购人有权终止合同并要求供应商对其所造成的损失进行赔偿。</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配送的中药饮片类若发现有破损或其他不合格包装，供应商应在</w:t>
            </w:r>
            <w:r>
              <w:rPr>
                <w:rFonts w:ascii="仿宋_GB2312" w:hAnsi="仿宋_GB2312" w:cs="仿宋_GB2312" w:eastAsia="仿宋_GB2312"/>
                <w:sz w:val="21"/>
                <w:color w:val="000000"/>
              </w:rPr>
              <w:t>5个工作日内更换。</w:t>
            </w:r>
          </w:p>
          <w:p>
            <w:pPr>
              <w:pStyle w:val="null3"/>
              <w:spacing w:after="105"/>
            </w:pPr>
            <w:r>
              <w:rPr>
                <w:rFonts w:ascii="仿宋_GB2312" w:hAnsi="仿宋_GB2312" w:cs="仿宋_GB2312" w:eastAsia="仿宋_GB2312"/>
                <w:sz w:val="21"/>
                <w:b/>
              </w:rPr>
              <w:t>四、商务要求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本项目预算年限为</w:t>
            </w:r>
            <w:r>
              <w:rPr>
                <w:rFonts w:ascii="仿宋_GB2312" w:hAnsi="仿宋_GB2312" w:cs="仿宋_GB2312" w:eastAsia="仿宋_GB2312"/>
                <w:sz w:val="21"/>
                <w:color w:val="000000"/>
              </w:rPr>
              <w:t>1年，招标期限为2年，采购合同一年一签，每年12月进行考核。</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质量保修范围和</w:t>
            </w:r>
            <w:r>
              <w:rPr>
                <w:rFonts w:ascii="仿宋_GB2312" w:hAnsi="仿宋_GB2312" w:cs="仿宋_GB2312" w:eastAsia="仿宋_GB2312"/>
                <w:sz w:val="21"/>
                <w:color w:val="000000"/>
              </w:rPr>
              <w:t>质保期</w:t>
            </w:r>
          </w:p>
          <w:p>
            <w:pPr>
              <w:pStyle w:val="null3"/>
              <w:ind w:firstLine="420"/>
              <w:jc w:val="left"/>
            </w:pPr>
            <w:r>
              <w:rPr>
                <w:rFonts w:ascii="仿宋_GB2312" w:hAnsi="仿宋_GB2312" w:cs="仿宋_GB2312" w:eastAsia="仿宋_GB2312"/>
                <w:sz w:val="21"/>
                <w:color w:val="000000"/>
              </w:rPr>
              <w:t>2.1保修范围：本项目涉及的所有产品。</w:t>
            </w:r>
          </w:p>
          <w:p>
            <w:pPr>
              <w:pStyle w:val="null3"/>
              <w:ind w:firstLine="420"/>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质保期</w:t>
            </w:r>
            <w:r>
              <w:rPr>
                <w:rFonts w:ascii="仿宋_GB2312" w:hAnsi="仿宋_GB2312" w:cs="仿宋_GB2312" w:eastAsia="仿宋_GB2312"/>
                <w:sz w:val="21"/>
                <w:color w:val="000000"/>
              </w:rPr>
              <w:t>：</w:t>
            </w:r>
            <w:r>
              <w:rPr>
                <w:rFonts w:ascii="仿宋_GB2312" w:hAnsi="仿宋_GB2312" w:cs="仿宋_GB2312" w:eastAsia="仿宋_GB2312"/>
                <w:sz w:val="21"/>
                <w:color w:val="000000"/>
              </w:rPr>
              <w:t>配送</w:t>
            </w:r>
            <w:r>
              <w:rPr>
                <w:rFonts w:ascii="仿宋_GB2312" w:hAnsi="仿宋_GB2312" w:cs="仿宋_GB2312" w:eastAsia="仿宋_GB2312"/>
                <w:sz w:val="21"/>
                <w:color w:val="000000"/>
              </w:rPr>
              <w:t>之日起至药品有效期截止之日（技术参数如有特殊需求，以技术参数要求为准）。</w:t>
            </w:r>
          </w:p>
          <w:p>
            <w:pPr>
              <w:pStyle w:val="null3"/>
              <w:ind w:firstLine="420"/>
              <w:jc w:val="left"/>
            </w:pPr>
            <w:r>
              <w:rPr>
                <w:rFonts w:ascii="仿宋_GB2312" w:hAnsi="仿宋_GB2312" w:cs="仿宋_GB2312" w:eastAsia="仿宋_GB2312"/>
                <w:sz w:val="21"/>
                <w:color w:val="000000"/>
              </w:rPr>
              <w:t>3.报价要求</w:t>
            </w:r>
          </w:p>
          <w:p>
            <w:pPr>
              <w:pStyle w:val="null3"/>
              <w:ind w:firstLine="422"/>
              <w:jc w:val="left"/>
            </w:pPr>
            <w:r>
              <w:rPr>
                <w:rFonts w:ascii="仿宋_GB2312" w:hAnsi="仿宋_GB2312" w:cs="仿宋_GB2312" w:eastAsia="仿宋_GB2312"/>
                <w:sz w:val="21"/>
                <w:b/>
                <w:color w:val="000000"/>
              </w:rPr>
              <w:t>3.1报价标准：</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本项目预算金额为</w:t>
            </w:r>
            <w:r>
              <w:rPr>
                <w:rFonts w:ascii="仿宋_GB2312" w:hAnsi="仿宋_GB2312" w:cs="仿宋_GB2312" w:eastAsia="仿宋_GB2312"/>
                <w:sz w:val="21"/>
                <w:b/>
                <w:color w:val="000000"/>
              </w:rPr>
              <w:t>550000</w:t>
            </w:r>
            <w:r>
              <w:rPr>
                <w:rFonts w:ascii="仿宋_GB2312" w:hAnsi="仿宋_GB2312" w:cs="仿宋_GB2312" w:eastAsia="仿宋_GB2312"/>
                <w:sz w:val="21"/>
                <w:b/>
                <w:color w:val="000000"/>
              </w:rPr>
              <w:t>元，供应商在首次报价及</w:t>
            </w:r>
            <w:r>
              <w:rPr>
                <w:rFonts w:ascii="仿宋_GB2312" w:hAnsi="仿宋_GB2312" w:cs="仿宋_GB2312" w:eastAsia="仿宋_GB2312"/>
                <w:sz w:val="21"/>
                <w:b/>
                <w:color w:val="000000"/>
              </w:rPr>
              <w:t>最后</w:t>
            </w:r>
            <w:r>
              <w:rPr>
                <w:rFonts w:ascii="仿宋_GB2312" w:hAnsi="仿宋_GB2312" w:cs="仿宋_GB2312" w:eastAsia="仿宋_GB2312"/>
                <w:sz w:val="21"/>
                <w:b/>
                <w:color w:val="000000"/>
              </w:rPr>
              <w:t>报价中，均须严格按照本项目预算金额</w:t>
            </w:r>
            <w:r>
              <w:rPr>
                <w:rFonts w:ascii="仿宋_GB2312" w:hAnsi="仿宋_GB2312" w:cs="仿宋_GB2312" w:eastAsia="仿宋_GB2312"/>
                <w:sz w:val="21"/>
                <w:b/>
                <w:color w:val="000000"/>
              </w:rPr>
              <w:t>550000元</w:t>
            </w:r>
            <w:r>
              <w:rPr>
                <w:rFonts w:ascii="仿宋_GB2312" w:hAnsi="仿宋_GB2312" w:cs="仿宋_GB2312" w:eastAsia="仿宋_GB2312"/>
                <w:sz w:val="21"/>
                <w:b/>
                <w:color w:val="000000"/>
              </w:rPr>
              <w:t>填报报价，报价金额与预算金额不一致的，其响应文件将按无效响应处理。</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2）</w:t>
            </w:r>
            <w:r>
              <w:rPr>
                <w:rFonts w:ascii="仿宋_GB2312" w:hAnsi="仿宋_GB2312" w:cs="仿宋_GB2312" w:eastAsia="仿宋_GB2312"/>
                <w:sz w:val="21"/>
                <w:b/>
                <w:color w:val="000000"/>
              </w:rPr>
              <w:t>供应商单价报价不得超过中药饮片配送品种目录中药饮片每千克最高单价限价，否则按响应文件处理，单价报价在商务技术文件分项报价表中体现。</w:t>
            </w:r>
          </w:p>
          <w:p>
            <w:pPr>
              <w:pStyle w:val="null3"/>
              <w:ind w:firstLine="420"/>
              <w:jc w:val="left"/>
            </w:pPr>
            <w:r>
              <w:rPr>
                <w:rFonts w:ascii="仿宋_GB2312" w:hAnsi="仿宋_GB2312" w:cs="仿宋_GB2312" w:eastAsia="仿宋_GB2312"/>
                <w:sz w:val="21"/>
                <w:color w:val="000000"/>
              </w:rPr>
              <w:t>3.2本项目根据企业的配送能力和市场变动情况报价，必须按《碑林区长乐坊社区卫生服务中心中药饮片采购品种目录》的要求填报，为固定总价（不超过最高限价）。</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color w:val="000000"/>
              </w:rPr>
              <w:t>.3本项目在合同期内执行成交价格，原则上不得变更。如果国家有关部门调整药品价格或市场变动大，药品价格按有关规定执行。由此造成的损失由采购人和供应商双方协商解决。针对中药饮片月均销量≥100kg的品种，若市场价格涨幅超过成交价格的2倍或跌至成交价格的1/2时启动动态调价机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按项目服务要求及特性，自行组织实施与管理，相关人员经过严格培训，能够胜任项目工作。</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供应商应自建煎药中心，并具备满足本项目需要的煎药设备。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西安市碑林区金花北路8号，西安市碑林区炮房街51号。</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符合国家及行业现行验收标准要求。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按季度结算，第一季度：供应商按照采购人要求的配送计划进行配送，经验收合格后，采购人据实结算（最终结算价不能超过项目预算），结算价格以采购人本季度实际用量×单价为准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按季度结算，第二季度：供应商按照采购人要求的配送计划进行配送，经验收合格后，采购人据实结算（最终结算价不能超过项目预算），结算价格以采购人本季度实际用量×单价为准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按季度结算，第三季度：供应商按照采购人要求的配送计划进行配送，经验收合格后，采购人据实结算（最终结算价不能超过项目预算），结算价格以采购人本季度实际用量×单价为准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按季度结算，第四季度：供应商按照采购人要求的配送计划进行配送，经验收合格后，采购人据实结算（最终结算价不能超过项目预算），结算价格以采购人本季度实际用量×单价为准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合同执行过程中如发生争议，双方应及时协商解决，协商不成，双方均可向项目所在地人民法院起诉。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接受采购人、采购代理机构的检查验证，配合提供相关证明（1.财务状况报告；2.税收缴纳证明；3.社保资金缴纳证明；4.被授权代表的身份证复印件以及2026年1月至今任意时段在本单位注册的已缴纳的社会保障资金缴存单据或社保机构开具的社会保险参保缴费情况证明；5.成交供应商的业绩（业绩需与磋商响应文件中所提供的保持一致）；以上5项具体要求详见合同附件），证明符合《中华人民共和国政府采购法》规定的供应商基本资格条件。供应商应对其资格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有违法所得的，并处没收违法所得，情节严重的，由市场监督部门吊销营业执照；构成犯罪的，依法追究刑事责任。 二、成交供应商在领取成交通知书时提供纸质版响应文件2套，应通过专用制作软件直接打印，确保与电子投标文件保持一致，不允许修改和补充。提交地点：陕西省西安市雁塔区雁翔路111号赛格·中京坊公寓A一单元二层招标二部。 三、供应商的磋商报价是供应商响应磋商项目要求的全部工作内容的价格体现，包括供应商完成本项目所需的直接费、间接费、利润、税金及其他相关的一切费用。包括但不限于：人工费、产品费、包装费、设备费、配送费、代煎中药费、装卸费、仓储费、检测费、验收费、采购代理服务费、利润和税金等全部费用。在提供服务的过程中的任何遗漏，均由成交供应商免费提供，采购人将不再支付任何费用。 四、磋商有效期 1.出现特殊情况需要延长磋商有效期的，采购代理机构或采购人可于磋商有效期满之前，以书面形式通知所有供应商延长磋商有效期。供应商应予书面答复，同意延长的，应相应延长其磋商保证金有效期，但不得要求或被允许修改其响应文件；供应商拒绝延长的，其响应文件失效，递交磋商保证金的，供应商有权收回其磋商保证金。 2.在磋商有效期内，供应商撤销响应文件的，应承担磋商文件和法律规定的责任。 3.成交供应商的磋商有效期自动延长至合同终止为止。 五、合格供应商少于3家的处理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2.评审过程中，除符合第1条规定情形外，若出现合格供应商少于3家时，采购人应依法重新组织采购活动。 六、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七、恶意质疑、投诉的法律后果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八、签名是指手写签名或者加盖名章（含电子签名或电子印章），盖章是指加盖单位印章。 九、关于采购文件一次报价出现下列情况的，不需要供应商澄清，按以下原则处理： 1.报价中的大写金额和小写金额不一致的，以大写金额为准，但大写金额出现文字错误，导致金额无法判断的除外； 2.单价金额小数点或者百分比有明显错位的，应以总价为准，并修改单价； 3.总价金额与按单价汇总金额不一致的，以单价汇总金额计算结果为准。同时出现两种以上不一致的，按照前款规定的顺序修正。修正后的报价经加盖供应商（法定名称）电子印章后产生约束力，供应商不确认的，其报价无效。 十、最终报价如出现异常低价，执行财库〔2026〕2号《关于推动解决政府采购异常低价问题的通知》，磋商小组可在最后报价审查表中审核是否通过审查。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供应商应具备《中华人民共和国政府采购法》第二十二条规定的条件： （1）供应商的营业执照等证明文件，自然人的身份证明；（2）法定代表人（单位负责人）参加磋商的，提供本人身份证复印件；法定代表人（单位负责人）授权他人参加磋商的，提供法定代表人（单位负责人）委托授权书及被授权代表的身份证复印件；按照电子化全流程要求，投标（响应）文件递交时，签到的人员信息应为法定代表人或授权委托人；（3）供应商提供的投标（响应）函；（4）采购代理机构将于本项目磋商文件递交截止日“中国执行信息公开网”“信用中国”“中国政府采购网”对供应商进行信用记录查询。对列入失信被执行人、列入重大税收违法失信主体，或处于“政府采购严重违法失信行为信息记录”名单中的供应商，将拒绝其参与政府采购活动。 注：1.按照《中华人民共和国政府采购法》有关规定，采购代理机构依法对供应商的资格进行审查，并组建资格审查小组； 2.资格审查小组，由经采购人授权的采购人代表和采购代理机构工作人员组成，由采购代理机构项目经理担任资格审查小组组长。 3.资格审查小组成立后，全体小组成员应当在签到表中签到。</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供应商为生产厂家的须提供合法有效的《药品生产许可证》；供应商为代理商的须提供合法有效的《药品经营许可证》。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商务技术文件.docx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商务技术文件.docx 中小企业声明函 残疾人福利性单位声明函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商务技术文件.docx 中小企业声明函 残疾人福利性单位声明函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只能有一个有效报价，不得提交选择性报价，且报价不超过第二章“供应商须知”前附表规定的采购预算金额或最高限价，须响应磋商文件“第三章 磋商项目技术、服务、商务及其他要求”中的报价标准。</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质量保障管理方案</w:t>
            </w:r>
          </w:p>
        </w:tc>
        <w:tc>
          <w:tcPr>
            <w:tcW w:type="dxa" w:w="2492"/>
          </w:tcPr>
          <w:p>
            <w:pPr>
              <w:pStyle w:val="null3"/>
            </w:pPr>
            <w:r>
              <w:rPr>
                <w:rFonts w:ascii="仿宋_GB2312" w:hAnsi="仿宋_GB2312" w:cs="仿宋_GB2312" w:eastAsia="仿宋_GB2312"/>
              </w:rPr>
              <w:t>一、评审内容 供应商结合本项目采购需求提供质量控制管理方案，包括但不限于：1.中药饮片加工生产质控、管理、存储制度；2、各个环节详细的操作流程；3、安全规范操作指引流程。所提供方案详细完善，具有很强的合理性和可操作性。 二、评分标准 每提供一项计3分，最高计9分。每有一处内容存在缺陷扣1分，扣完为止，未提供或提供的内容与本项目不符计0分。 备注：备注：缺陷包括但不限于存在项目名称错误、地点区域错误、内容与本项目需求无关、方案内容矛盾或表述前后不一致、仅有框架或标题、适用的标准（方法）错误、明显复制其他项目内容等情形。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代煎中药</w:t>
            </w:r>
          </w:p>
        </w:tc>
        <w:tc>
          <w:tcPr>
            <w:tcW w:type="dxa" w:w="2492"/>
          </w:tcPr>
          <w:p>
            <w:pPr>
              <w:pStyle w:val="null3"/>
            </w:pPr>
            <w:r>
              <w:rPr>
                <w:rFonts w:ascii="仿宋_GB2312" w:hAnsi="仿宋_GB2312" w:cs="仿宋_GB2312" w:eastAsia="仿宋_GB2312"/>
              </w:rPr>
              <w:t>一、评审内容 供应商针对本项目提供中药饮片代煎服务方案，包括但不限于：1.饮片调剂服务；2.饮片煎煮服务；3.代煎场地与设备设施等。所提供方案详细完善，具有很强的合理性和可操作性。 二、评分标准 每提供一项计4分，最高计12分。每有一处内容存在缺陷扣1分，扣完为止，未提供或提供的内容与本项目不符计0分。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一、评审内容 供应商仓储能力满足本项目需求，包括但不限于：1.仓储室；2.标本室；3.留样室；4.冷藏室。提供的场地规范、条件良好、卫生整洁，需提供实景照片，储存场所需提供包括但不限于地址及面积、平面图及实景照片、租赁合同、房产证明等相关证明材料。 二、评分标准 1.仓储室：场地面积在[10㎡-2000㎡）计0.5分；场地面积在[2000㎡-4000㎡）计1分；场地面积在[4000㎡-7000㎡）计2分；场地面积在7000㎡及7000㎡以上计3分。 2.标本室：场地面积在[10㎡-300㎡）计0.5分；场地面积在[300㎡-600㎡）计1分；场地面积在[600㎡-900㎡）计1.5分；场地面积在900㎡及900㎡以上计2分。 3.留样室：场地面积在[10㎡-100㎡）计0.5分；场地面积在[100㎡-200㎡）计1分；场地面积在[200㎡-400㎡）计1.5分；场地面积在400㎡及400㎡以上计2分。 4.冷藏室：场地面积在[10㎡-500㎡）计0.5分；场地面积在500㎡-1000㎡）计1分；场地面积在[1000㎡-1500㎡）计1.5分；场地面积在1500㎡及1500㎡以上计2分。 未提供的计0分。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样品情况</w:t>
            </w:r>
          </w:p>
        </w:tc>
        <w:tc>
          <w:tcPr>
            <w:tcW w:type="dxa" w:w="2492"/>
          </w:tcPr>
          <w:p>
            <w:pPr>
              <w:pStyle w:val="null3"/>
            </w:pPr>
            <w:r>
              <w:rPr>
                <w:rFonts w:ascii="仿宋_GB2312" w:hAnsi="仿宋_GB2312" w:cs="仿宋_GB2312" w:eastAsia="仿宋_GB2312"/>
              </w:rPr>
              <w:t>一、评审内容 根据供应商提供样品情况，进行综合评审，包括但不限于： 1.样品完整性：按磋商文件“第三章 磋商项目技术、服务、商务及其他要求”中样品要求提供，品类齐全、无缺漏、无替代； 2.外观性状质量：饮片形态完整、切制均匀、厚薄一致，无碎末、无畸形、无杂质；色泽自然纯正，无熏硫发白、无霉变发黄、无色素染色；洁净度高，无泥沙、虫卵、杂草、异物等杂质； 3.气味、质感与炮制工艺：气味纯正，具备本药材固有香气，无酸败、霉味、硫磺刺鼻味、异味；炮制规范（蜜炙、麸炒、酒制、煅制等工艺合规），火候适中、炮制到位；质地紧实、干湿适宜，无过分潮湿返潮、无干枯风化； 4.水分、洁净及储存适配性： 干湿适度，无受潮结块、无泛油、无虫蛀隐患；干燥度符合中药饮片国标储存要求，不易霉变虫蛀； 5.样品包装与标识规范：样品包装表面必须粘贴有明确的标识，标识内容至少应包括：项目名称、项目编号、供应商单位名称、样品名称、规格、产地。 二、评分标准 每提供一项计3分，最高计15分。每有一处内容存在缺陷扣1分，扣完为止，未提供或提供的内容与本项目不符计0分。 备注：缺陷包括但不限于样品种类缺漏、有替代，饮片霉变、发黑、严重杂质，饮片炮制不到位、异味，饮片受潮、结块、虫蛀痕迹明显，包装无标签、混装、破损等。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供应商针对本项目采购需求提供配送方案，包括但不限于：1.配送服务团队；2.配送车辆配置；3.配送响应时间；4.配送过程中产品的包装质量及防潮、防霉、防破损措施等。所提供方案详细完善，具有很强的合理性和可操作性。 二、评分标准 每提供一项计4分，最高计16分。每有一处内容存在缺陷扣1分，扣完为止，未提供或提供的内容与本项目不符计0分。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服务进度计划</w:t>
            </w:r>
          </w:p>
        </w:tc>
        <w:tc>
          <w:tcPr>
            <w:tcW w:type="dxa" w:w="2492"/>
          </w:tcPr>
          <w:p>
            <w:pPr>
              <w:pStyle w:val="null3"/>
            </w:pPr>
            <w:r>
              <w:rPr>
                <w:rFonts w:ascii="仿宋_GB2312" w:hAnsi="仿宋_GB2312" w:cs="仿宋_GB2312" w:eastAsia="仿宋_GB2312"/>
              </w:rPr>
              <w:t>供应商针对本项目提供服务进度计划，包括但不限于：1.提供项目实施进度计划表，明确各项任务安排、时间节点及责任人；2.提供项目进度计划保障措施。要求方案完善，具有很强的合理性和可操作性。 二、评分标准 每提供一项计3.5分，最高计7分。每有一处内容存在缺陷扣1分，扣完为止，未提供或提供的内容与本项目不符计0分。 备注：缺陷是指内容不合理、虽有内容但不完善、内容表述前后不一致、与项目需求不匹配及其他不利于项目实施的任意一种情形。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供应商针对本项目采购需求提供售后服务方案，包括但不限于：1.调换货和退换货服务方案；2.售后服务人员安排；3.售后服务响应时间。所提供方案详细完善，具有很强的合理性和可操作性。 二、评分标准 每提供一项计4分，最高计12分。每有一处内容存在缺陷扣1分，扣完为止，未提供或提供的内容与本项目不符计0分。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供应商针对本项目采购需求提供应急方案，包括但不限于：1.突发状况处理，包括饮片质量异常、饮片断供、配送延误等。2.应急响应时间；所提供方案详细完善，具有很强的合理性和可操作性。 二、评分标准 每提供一项计4分，最高计8分。每有一处内容存在缺陷扣1分，扣完为止，未提供或提供的内容与本项目不符计0分。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药材来源可靠性证明</w:t>
            </w:r>
          </w:p>
        </w:tc>
        <w:tc>
          <w:tcPr>
            <w:tcW w:type="dxa" w:w="2492"/>
          </w:tcPr>
          <w:p>
            <w:pPr>
              <w:pStyle w:val="null3"/>
            </w:pPr>
            <w:r>
              <w:rPr>
                <w:rFonts w:ascii="仿宋_GB2312" w:hAnsi="仿宋_GB2312" w:cs="仿宋_GB2312" w:eastAsia="仿宋_GB2312"/>
              </w:rPr>
              <w:t>一、评审内容 供应商需提供：1.中药饮片产品信息（包括产品名称、批号、生产企业、生产日期等）；2.中药饮片产地信息（注明具体产地）；3.中药饮片生产信息（包括炮制方法、执行标准等）；4.中药饮片检验信息（附有质检报告）； 二、评分标准 根据评审内容提供相关证明材料，每提供一项证明计1分，最高计4分。未提供或提供的内容与本项目不符计0分。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具有2022年1月1日至今的车辆服务项目业绩（以合同签订日期为准），业绩以合同复印件为依据，缺一不可。每个业绩计2分，4个以上（含4个）计8分。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