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版本号：GR26-TP-00920260410002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GR26-TP-009</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视频设备采购项目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GR26-TP-009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视频设备采购项目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本项目为西安市公安局碑林分局视频设备采购项目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西安市公安局碑林分局（本级）经办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代理服务费收费标准：代理服务费为人民币5600元整。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西安市公安局碑林分局（本级）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伟江项目管理咨询有限公司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本项目为西安市公安局碑林分局视频设备采购项目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85"/>
              <w:gridCol w:w="234"/>
              <w:gridCol w:w="343"/>
              <w:gridCol w:w="1240"/>
              <w:gridCol w:w="243"/>
              <w:gridCol w:w="192"/>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分类</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主要规格</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一、屏体</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w:t>
                  </w:r>
                  <w:r>
                    <w:rPr>
                      <w:rFonts w:ascii="仿宋_GB2312" w:hAnsi="仿宋_GB2312" w:cs="仿宋_GB2312" w:eastAsia="仿宋_GB2312"/>
                      <w:sz w:val="20"/>
                      <w:color w:val="000000"/>
                    </w:rPr>
                    <w:t>LED显示屏（核心产品）</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屏体尺寸：宽</w:t>
                  </w:r>
                  <w:r>
                    <w:rPr>
                      <w:rFonts w:ascii="仿宋_GB2312" w:hAnsi="仿宋_GB2312" w:cs="仿宋_GB2312" w:eastAsia="仿宋_GB2312"/>
                      <w:sz w:val="20"/>
                      <w:color w:val="000000"/>
                    </w:rPr>
                    <w:t>4.8m，高2.24m，共2块。</w:t>
                  </w:r>
                  <w:r>
                    <w:rPr>
                      <w:rFonts w:ascii="仿宋_GB2312" w:hAnsi="仿宋_GB2312" w:cs="仿宋_GB2312" w:eastAsia="仿宋_GB2312"/>
                      <w:sz w:val="20"/>
                      <w:color w:val="000000"/>
                    </w:rPr>
                    <w:t>点间距：</w:t>
                  </w:r>
                  <w:r>
                    <w:rPr>
                      <w:rFonts w:ascii="仿宋_GB2312" w:hAnsi="仿宋_GB2312" w:cs="仿宋_GB2312" w:eastAsia="仿宋_GB2312"/>
                      <w:sz w:val="20"/>
                      <w:color w:val="000000"/>
                    </w:rPr>
                    <w:t>≤1.25mm，像素密度≥640000点/㎡，SMD三合一封装；</w:t>
                  </w:r>
                </w:p>
                <w:p>
                  <w:pPr>
                    <w:pStyle w:val="null3"/>
                    <w:jc w:val="left"/>
                  </w:pPr>
                  <w:r>
                    <w:rPr>
                      <w:rFonts w:ascii="仿宋_GB2312" w:hAnsi="仿宋_GB2312" w:cs="仿宋_GB2312" w:eastAsia="仿宋_GB2312"/>
                      <w:sz w:val="20"/>
                      <w:color w:val="000000"/>
                    </w:rPr>
                    <w:t>2.无电感效应，不花屏，具备消隐、节能功能。</w:t>
                  </w:r>
                </w:p>
                <w:p>
                  <w:pPr>
                    <w:pStyle w:val="null3"/>
                    <w:jc w:val="left"/>
                  </w:pPr>
                  <w:r>
                    <w:rPr>
                      <w:rFonts w:ascii="仿宋_GB2312" w:hAnsi="仿宋_GB2312" w:cs="仿宋_GB2312" w:eastAsia="仿宋_GB2312"/>
                      <w:sz w:val="20"/>
                      <w:color w:val="000000"/>
                    </w:rPr>
                    <w:t>3.基色主波长误差应为C级；ΔλD≤3nm，亮度均匀性C级：IGU≥98%。▲</w:t>
                  </w:r>
                </w:p>
                <w:p>
                  <w:pPr>
                    <w:pStyle w:val="null3"/>
                    <w:jc w:val="left"/>
                  </w:pPr>
                  <w:r>
                    <w:rPr>
                      <w:rFonts w:ascii="仿宋_GB2312" w:hAnsi="仿宋_GB2312" w:cs="仿宋_GB2312" w:eastAsia="仿宋_GB2312"/>
                      <w:sz w:val="20"/>
                      <w:color w:val="000000"/>
                    </w:rPr>
                    <w:t>4.最大亮度≥500cd/m²，亮度支持手动/自动/软件0-100%无极调节，换帧频率C级：fH≥50Hz。▲</w:t>
                  </w:r>
                </w:p>
                <w:p>
                  <w:pPr>
                    <w:pStyle w:val="null3"/>
                    <w:jc w:val="left"/>
                  </w:pPr>
                  <w:r>
                    <w:rPr>
                      <w:rFonts w:ascii="仿宋_GB2312" w:hAnsi="仿宋_GB2312" w:cs="仿宋_GB2312" w:eastAsia="仿宋_GB2312"/>
                      <w:sz w:val="20"/>
                      <w:color w:val="000000"/>
                    </w:rPr>
                    <w:t>5.刷新率C级：fC≥4200Hz。▲</w:t>
                  </w:r>
                </w:p>
                <w:p>
                  <w:pPr>
                    <w:pStyle w:val="null3"/>
                    <w:jc w:val="left"/>
                  </w:pPr>
                  <w:r>
                    <w:rPr>
                      <w:rFonts w:ascii="仿宋_GB2312" w:hAnsi="仿宋_GB2312" w:cs="仿宋_GB2312" w:eastAsia="仿宋_GB2312"/>
                      <w:sz w:val="20"/>
                      <w:color w:val="000000"/>
                    </w:rPr>
                    <w:t>6.白场色坐标x坐标：0.27-0.33，y坐标：0.25-0.37。▲</w:t>
                  </w:r>
                </w:p>
                <w:p>
                  <w:pPr>
                    <w:pStyle w:val="null3"/>
                    <w:jc w:val="left"/>
                  </w:pPr>
                  <w:r>
                    <w:rPr>
                      <w:rFonts w:ascii="仿宋_GB2312" w:hAnsi="仿宋_GB2312" w:cs="仿宋_GB2312" w:eastAsia="仿宋_GB2312"/>
                      <w:sz w:val="20"/>
                      <w:color w:val="000000"/>
                    </w:rPr>
                    <w:t>7.单元模组重量≤0.45kg，平整度≤0.2mm，拼装精度≤0.05mm，间隙≤0.1mm，水平/垂直相对错位等级≤4.5%。</w:t>
                  </w:r>
                </w:p>
                <w:p>
                  <w:pPr>
                    <w:pStyle w:val="null3"/>
                    <w:jc w:val="left"/>
                  </w:pPr>
                  <w:r>
                    <w:rPr>
                      <w:rFonts w:ascii="仿宋_GB2312" w:hAnsi="仿宋_GB2312" w:cs="仿宋_GB2312" w:eastAsia="仿宋_GB2312"/>
                      <w:sz w:val="20"/>
                      <w:color w:val="000000"/>
                    </w:rPr>
                    <w:t>8.输入电压AC100V-240V，50/60Hz，发光模组采用4.2VDC的安全电压供电，在室温下，LED显示屏供电电源功率因数≥92%，转换效率≥80%。</w:t>
                  </w:r>
                </w:p>
                <w:p>
                  <w:pPr>
                    <w:pStyle w:val="null3"/>
                    <w:jc w:val="left"/>
                  </w:pPr>
                  <w:r>
                    <w:rPr>
                      <w:rFonts w:ascii="仿宋_GB2312" w:hAnsi="仿宋_GB2312" w:cs="仿宋_GB2312" w:eastAsia="仿宋_GB2312"/>
                      <w:sz w:val="20"/>
                      <w:color w:val="000000"/>
                    </w:rPr>
                    <w:t>9.白平衡状态下测量单块模组最大功耗≤30W,每平米最大功耗≤400W/㎡，每平米平均功耗≤130W/㎡。</w:t>
                  </w:r>
                </w:p>
                <w:p>
                  <w:pPr>
                    <w:pStyle w:val="null3"/>
                    <w:jc w:val="left"/>
                  </w:pPr>
                  <w:r>
                    <w:rPr>
                      <w:rFonts w:ascii="仿宋_GB2312" w:hAnsi="仿宋_GB2312" w:cs="仿宋_GB2312" w:eastAsia="仿宋_GB2312"/>
                      <w:sz w:val="20"/>
                      <w:color w:val="000000"/>
                    </w:rPr>
                    <w:t>10.产品通过抗电强度试验，电源输入端与GND之间：施加DC2500V测试1min，无飞弧、无击穿；电源输入端与加强绝缘部件之21.504㎡2间：施加DC4000V，测试1min，不应发生绝缘击穿。</w:t>
                  </w:r>
                </w:p>
                <w:p>
                  <w:pPr>
                    <w:pStyle w:val="null3"/>
                    <w:jc w:val="left"/>
                  </w:pPr>
                  <w:r>
                    <w:rPr>
                      <w:rFonts w:ascii="仿宋_GB2312" w:hAnsi="仿宋_GB2312" w:cs="仿宋_GB2312" w:eastAsia="仿宋_GB2312"/>
                      <w:sz w:val="20"/>
                      <w:color w:val="000000"/>
                    </w:rPr>
                    <w:t>11.机械强度测试（外壳冲击）：对设备进行机械强度试验，质量500g，直径50mm钢球，跌落高度1.3m，外壳框架不变形。</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12.电压波动和闪烁应符合GB/T 17625.2-2007标准限值要求，依据GB/T 17626.4-2018，电源端口±1kV，测试中和测试结束后产品无异常。</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13.视网膜蓝光危害符合GB/T 20145-2006标准要求，对样品发光器件(灯珠)蓝色光的波长进行测试。为保证产品屏幕光看起来柔和不刺眼，产品需要具备蓝光护眼多重过渡保护系统显示屏调到蓝光最亮状态下测试，蓝光危害加权辐亮度值（LB）限量值≤10W•m-2•sr-1，并在2.8h内不造成对视网膜蓝光危害（LB），蓝光视网膜危害应属无危害类。▲</w:t>
                  </w:r>
                </w:p>
                <w:p>
                  <w:pPr>
                    <w:pStyle w:val="null3"/>
                    <w:jc w:val="left"/>
                  </w:pPr>
                  <w:r>
                    <w:rPr>
                      <w:rFonts w:ascii="仿宋_GB2312" w:hAnsi="仿宋_GB2312" w:cs="仿宋_GB2312" w:eastAsia="仿宋_GB2312"/>
                      <w:sz w:val="20"/>
                      <w:color w:val="000000"/>
                    </w:rPr>
                    <w:t>14.MTBF要求，试验样本数≥20台，加速前温度25℃，加速后温度60℃，温度加速系数11.7（选用Arrhenius温度加速模型进行加速），总试</w:t>
                  </w:r>
                  <w:r>
                    <w:rPr>
                      <w:rFonts w:ascii="仿宋_GB2312" w:hAnsi="仿宋_GB2312" w:cs="仿宋_GB2312" w:eastAsia="仿宋_GB2312"/>
                      <w:sz w:val="20"/>
                      <w:color w:val="000000"/>
                    </w:rPr>
                    <w:t>验时间</w:t>
                  </w:r>
                  <w:r>
                    <w:rPr>
                      <w:rFonts w:ascii="仿宋_GB2312" w:hAnsi="仿宋_GB2312" w:cs="仿宋_GB2312" w:eastAsia="仿宋_GB2312"/>
                      <w:sz w:val="20"/>
                      <w:color w:val="000000"/>
                    </w:rPr>
                    <w:t>≥600小时，LED显示屏外观、接口、显示、功能无异常，使用寿命≥100000小时，MTBF≥100000小时。</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15.控制方式计算机控制，逐点一一对应，视频同步，实时显示，千兆以太网（RJ45或光纤）连接，支持星型，网状型，分布式，树型等多种结构，TCP/IP协议，RS232/RS485信号输入方式，支持DVI、HDMI、VGA、SDI、S-Video、DP、网络流媒体等多种格式的信号输入至视频处理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16.标“</w:t>
                  </w:r>
                  <w:r>
                    <w:rPr>
                      <w:rFonts w:ascii="仿宋_GB2312" w:hAnsi="仿宋_GB2312" w:cs="仿宋_GB2312" w:eastAsia="仿宋_GB2312"/>
                      <w:sz w:val="20"/>
                      <w:color w:val="000000"/>
                    </w:rPr>
                    <w:t>▲</w:t>
                  </w:r>
                  <w:r>
                    <w:rPr>
                      <w:rFonts w:ascii="仿宋_GB2312" w:hAnsi="仿宋_GB2312" w:cs="仿宋_GB2312" w:eastAsia="仿宋_GB2312"/>
                      <w:sz w:val="20"/>
                      <w:color w:val="000000"/>
                    </w:rPr>
                    <w:t>”技术要求</w:t>
                  </w:r>
                  <w:r>
                    <w:rPr>
                      <w:rFonts w:ascii="仿宋_GB2312" w:hAnsi="仿宋_GB2312" w:cs="仿宋_GB2312" w:eastAsia="仿宋_GB2312"/>
                      <w:sz w:val="20"/>
                      <w:color w:val="000000"/>
                    </w:rPr>
                    <w:t>须</w:t>
                  </w:r>
                  <w:r>
                    <w:rPr>
                      <w:rFonts w:ascii="仿宋_GB2312" w:hAnsi="仿宋_GB2312" w:cs="仿宋_GB2312" w:eastAsia="仿宋_GB2312"/>
                      <w:sz w:val="20"/>
                      <w:color w:val="000000"/>
                    </w:rPr>
                    <w:t>提供封面具有</w:t>
                  </w:r>
                  <w:r>
                    <w:rPr>
                      <w:rFonts w:ascii="仿宋_GB2312" w:hAnsi="仿宋_GB2312" w:cs="仿宋_GB2312" w:eastAsia="仿宋_GB2312"/>
                      <w:sz w:val="20"/>
                      <w:color w:val="000000"/>
                    </w:rPr>
                    <w:t>CNAS标识的第三方检测报告复印件或按条款要求提供相关证书复印件并加盖原厂公章。</w:t>
                  </w:r>
                </w:p>
                <w:p>
                  <w:pPr>
                    <w:pStyle w:val="null3"/>
                    <w:jc w:val="left"/>
                  </w:pPr>
                  <w:r>
                    <w:rPr>
                      <w:rFonts w:ascii="仿宋_GB2312" w:hAnsi="仿宋_GB2312" w:cs="仿宋_GB2312" w:eastAsia="仿宋_GB2312"/>
                      <w:sz w:val="20"/>
                      <w:color w:val="000000"/>
                    </w:rPr>
                    <w:t>17.提供产品的合法来源证明文件、CCC证书及CQC证书。</w:t>
                  </w:r>
                </w:p>
                <w:p>
                  <w:pPr>
                    <w:pStyle w:val="null3"/>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须提供产品合法来源证明文件（包括但不限于厂家授权、代理证或供货协议等）</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21.504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备品</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同批次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接收卡</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1.集成HUB320，无需再配转接板</w:t>
                  </w:r>
                  <w:r>
                    <w:br/>
                  </w:r>
                  <w:r>
                    <w:rPr>
                      <w:rFonts w:ascii="仿宋_GB2312" w:hAnsi="仿宋_GB2312" w:cs="仿宋_GB2312" w:eastAsia="仿宋_GB2312"/>
                      <w:sz w:val="20"/>
                      <w:color w:val="000000"/>
                    </w:rPr>
                    <w:t>2.支持8bit精度逐点校正</w:t>
                  </w:r>
                  <w:r>
                    <w:br/>
                  </w:r>
                  <w:r>
                    <w:rPr>
                      <w:rFonts w:ascii="仿宋_GB2312" w:hAnsi="仿宋_GB2312" w:cs="仿宋_GB2312" w:eastAsia="仿宋_GB2312"/>
                      <w:sz w:val="20"/>
                      <w:color w:val="000000"/>
                    </w:rPr>
                    <w:t>3.支持所有常规芯片、PWM 芯片、视芯芯片和灯饰芯片</w:t>
                  </w:r>
                  <w:r>
                    <w:br/>
                  </w:r>
                  <w:r>
                    <w:rPr>
                      <w:rFonts w:ascii="仿宋_GB2312" w:hAnsi="仿宋_GB2312" w:cs="仿宋_GB2312" w:eastAsia="仿宋_GB2312"/>
                      <w:sz w:val="20"/>
                      <w:color w:val="000000"/>
                    </w:rPr>
                    <w:t>4.支持静态到128扫描之间的任意扫描类型，单组数据可支持13312像素点以内的任意走线；</w:t>
                  </w:r>
                  <w:r>
                    <w:br/>
                  </w:r>
                  <w:r>
                    <w:rPr>
                      <w:rFonts w:ascii="仿宋_GB2312" w:hAnsi="仿宋_GB2312" w:cs="仿宋_GB2312" w:eastAsia="仿宋_GB2312"/>
                      <w:sz w:val="20"/>
                      <w:color w:val="000000"/>
                    </w:rPr>
                    <w:t>5.支持任意抽点，支持数据偏移，可实现各种异型屏、球形屏、创意显示屏</w:t>
                  </w:r>
                  <w:r>
                    <w:br/>
                  </w:r>
                  <w:r>
                    <w:rPr>
                      <w:rFonts w:ascii="仿宋_GB2312" w:hAnsi="仿宋_GB2312" w:cs="仿宋_GB2312" w:eastAsia="仿宋_GB2312"/>
                      <w:sz w:val="20"/>
                      <w:color w:val="000000"/>
                    </w:rPr>
                    <w:t>6.单卡支持32 组并行 RGB 全彩数据或 32 组串行 RGB 数据，可扩展 128 组串行 RGB 数据组，数据组可以自由交换</w:t>
                  </w:r>
                  <w:r>
                    <w:br/>
                  </w:r>
                  <w:r>
                    <w:rPr>
                      <w:rFonts w:ascii="仿宋_GB2312" w:hAnsi="仿宋_GB2312" w:cs="仿宋_GB2312" w:eastAsia="仿宋_GB2312"/>
                      <w:sz w:val="20"/>
                      <w:color w:val="000000"/>
                    </w:rPr>
                    <w:t>7.支持超大带载面积,单卡带载常规：128X1024 像素点，PWM：256X1024 像素点，视芯：162X1024 像素点</w:t>
                  </w:r>
                  <w:r>
                    <w:br/>
                  </w:r>
                  <w:r>
                    <w:rPr>
                      <w:rFonts w:ascii="仿宋_GB2312" w:hAnsi="仿宋_GB2312" w:cs="仿宋_GB2312" w:eastAsia="仿宋_GB2312"/>
                      <w:sz w:val="20"/>
                      <w:color w:val="000000"/>
                    </w:rPr>
                    <w:t>11.支持（DC3.8V~5.5V，0.6A）超宽工作电压</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4.2V，40A。与LED显示大屏配套使用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发送卡</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具有2类视频输入接口，包括1路HDMI和2路DVI</w:t>
                  </w:r>
                  <w:r>
                    <w:br/>
                  </w:r>
                  <w:r>
                    <w:rPr>
                      <w:rFonts w:ascii="仿宋_GB2312" w:hAnsi="仿宋_GB2312" w:cs="仿宋_GB2312" w:eastAsia="仿宋_GB2312"/>
                      <w:sz w:val="20"/>
                      <w:color w:val="000000"/>
                    </w:rPr>
                    <w:t>2. 最大带载260万像素，最宽可达4096点，或最高可达2560点</w:t>
                  </w:r>
                  <w:r>
                    <w:br/>
                  </w:r>
                  <w:r>
                    <w:rPr>
                      <w:rFonts w:ascii="仿宋_GB2312" w:hAnsi="仿宋_GB2312" w:cs="仿宋_GB2312" w:eastAsia="仿宋_GB2312"/>
                      <w:sz w:val="20"/>
                      <w:color w:val="000000"/>
                    </w:rPr>
                    <w:t>3. 最大输入分辨率1920×1200@60Hz，支持分辨率任意设置</w:t>
                  </w:r>
                  <w:r>
                    <w:br/>
                  </w:r>
                  <w:r>
                    <w:rPr>
                      <w:rFonts w:ascii="仿宋_GB2312" w:hAnsi="仿宋_GB2312" w:cs="仿宋_GB2312" w:eastAsia="仿宋_GB2312"/>
                      <w:sz w:val="20"/>
                      <w:color w:val="000000"/>
                    </w:rPr>
                    <w:t>4. 支持4路千兆网口输出，支持单机或双机冗余备份</w:t>
                  </w:r>
                  <w:r>
                    <w:br/>
                  </w:r>
                  <w:r>
                    <w:rPr>
                      <w:rFonts w:ascii="仿宋_GB2312" w:hAnsi="仿宋_GB2312" w:cs="仿宋_GB2312" w:eastAsia="仿宋_GB2312"/>
                      <w:sz w:val="20"/>
                      <w:color w:val="000000"/>
                    </w:rPr>
                    <w:t>5. 支持对视频信号任意切换，裁剪，拼接，缩放</w:t>
                  </w:r>
                  <w:r>
                    <w:br/>
                  </w:r>
                  <w:r>
                    <w:rPr>
                      <w:rFonts w:ascii="仿宋_GB2312" w:hAnsi="仿宋_GB2312" w:cs="仿宋_GB2312" w:eastAsia="仿宋_GB2312"/>
                      <w:sz w:val="20"/>
                      <w:color w:val="000000"/>
                    </w:rPr>
                    <w:t>6. 支持画面偏移</w:t>
                  </w:r>
                  <w:r>
                    <w:br/>
                  </w:r>
                  <w:r>
                    <w:rPr>
                      <w:rFonts w:ascii="仿宋_GB2312" w:hAnsi="仿宋_GB2312" w:cs="仿宋_GB2312" w:eastAsia="仿宋_GB2312"/>
                      <w:sz w:val="20"/>
                      <w:color w:val="000000"/>
                    </w:rPr>
                    <w:t>7. 支持适配多功能卡音频输出</w:t>
                  </w:r>
                  <w:r>
                    <w:br/>
                  </w:r>
                  <w:r>
                    <w:rPr>
                      <w:rFonts w:ascii="仿宋_GB2312" w:hAnsi="仿宋_GB2312" w:cs="仿宋_GB2312" w:eastAsia="仿宋_GB2312"/>
                      <w:sz w:val="20"/>
                      <w:color w:val="000000"/>
                    </w:rPr>
                    <w:t>8. 支持HDCP高带宽数字内容保护技术</w:t>
                  </w:r>
                  <w:r>
                    <w:br/>
                  </w:r>
                  <w:r>
                    <w:rPr>
                      <w:rFonts w:ascii="仿宋_GB2312" w:hAnsi="仿宋_GB2312" w:cs="仿宋_GB2312" w:eastAsia="仿宋_GB2312"/>
                      <w:sz w:val="20"/>
                      <w:color w:val="000000"/>
                    </w:rPr>
                    <w:t>9. 支持亮度和色温调节</w:t>
                  </w:r>
                  <w:r>
                    <w:br/>
                  </w:r>
                  <w:r>
                    <w:rPr>
                      <w:rFonts w:ascii="仿宋_GB2312" w:hAnsi="仿宋_GB2312" w:cs="仿宋_GB2312" w:eastAsia="仿宋_GB2312"/>
                      <w:sz w:val="20"/>
                      <w:color w:val="000000"/>
                    </w:rPr>
                    <w:t>10.支持预制16场景，直接调用，方便使用</w:t>
                  </w:r>
                  <w:r>
                    <w:br/>
                  </w:r>
                  <w:r>
                    <w:rPr>
                      <w:rFonts w:ascii="仿宋_GB2312" w:hAnsi="仿宋_GB2312" w:cs="仿宋_GB2312" w:eastAsia="仿宋_GB2312"/>
                      <w:sz w:val="20"/>
                      <w:color w:val="000000"/>
                    </w:rPr>
                    <w:t>11.支持低亮高灰，能有效地保持低亮下灰阶的完整显示</w:t>
                  </w:r>
                  <w:r>
                    <w:br/>
                  </w:r>
                  <w:r>
                    <w:rPr>
                      <w:rFonts w:ascii="仿宋_GB2312" w:hAnsi="仿宋_GB2312" w:cs="仿宋_GB2312" w:eastAsia="仿宋_GB2312"/>
                      <w:sz w:val="20"/>
                      <w:color w:val="000000"/>
                    </w:rPr>
                    <w:t>12.支持USB接口控制或级联，最多支持64台级联</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大屏输出节点</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1.4路HDMI视频接口</w:t>
                  </w:r>
                  <w:r>
                    <w:br/>
                  </w:r>
                  <w:r>
                    <w:rPr>
                      <w:rFonts w:ascii="仿宋_GB2312" w:hAnsi="仿宋_GB2312" w:cs="仿宋_GB2312" w:eastAsia="仿宋_GB2312"/>
                      <w:sz w:val="20"/>
                      <w:color w:val="000000"/>
                    </w:rPr>
                    <w:t>2.单卡最大支持同时输出4路1920X1200@60Hz信号，每路接口输出画:面可在设备控制范围内任意设置</w:t>
                  </w:r>
                  <w:r>
                    <w:br/>
                  </w:r>
                  <w:r>
                    <w:rPr>
                      <w:rFonts w:ascii="仿宋_GB2312" w:hAnsi="仿宋_GB2312" w:cs="仿宋_GB2312" w:eastAsia="仿宋_GB2312"/>
                      <w:sz w:val="20"/>
                      <w:color w:val="000000"/>
                    </w:rPr>
                    <w:t>3.单路最大输出分辨率为1920X1200@60Hz，支持自定义分辨率</w:t>
                  </w:r>
                  <w:r>
                    <w:br/>
                  </w:r>
                  <w:r>
                    <w:rPr>
                      <w:rFonts w:ascii="仿宋_GB2312" w:hAnsi="仿宋_GB2312" w:cs="仿宋_GB2312" w:eastAsia="仿宋_GB2312"/>
                      <w:sz w:val="20"/>
                      <w:color w:val="000000"/>
                    </w:rPr>
                    <w:t>4.支持输出显示23.98Hz至144Hz画面</w:t>
                  </w:r>
                  <w:r>
                    <w:br/>
                  </w:r>
                  <w:r>
                    <w:rPr>
                      <w:rFonts w:ascii="仿宋_GB2312" w:hAnsi="仿宋_GB2312" w:cs="仿宋_GB2312" w:eastAsia="仿宋_GB2312"/>
                      <w:sz w:val="20"/>
                      <w:color w:val="000000"/>
                    </w:rPr>
                    <w:t>5.极限宽度4096 (4096X512@60Hz)</w:t>
                  </w:r>
                  <w:r>
                    <w:br/>
                  </w:r>
                  <w:r>
                    <w:rPr>
                      <w:rFonts w:ascii="仿宋_GB2312" w:hAnsi="仿宋_GB2312" w:cs="仿宋_GB2312" w:eastAsia="仿宋_GB2312"/>
                      <w:sz w:val="20"/>
                      <w:color w:val="000000"/>
                    </w:rPr>
                    <w:t>6.极限高度4096(512X4096@60Hz)</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.提供技术参数的证明文件（包括但不限于第三方检测报告、厂家技术白皮书或产品说明书等）。</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须提供产品合法来源证明文件（包括但不限于厂家授权、代理证或供货协议等）</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配电箱</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10KW，带PLC</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屏控</w:t>
                  </w:r>
                </w:p>
                <w:p>
                  <w:pPr>
                    <w:pStyle w:val="null3"/>
                    <w:jc w:val="center"/>
                  </w:pPr>
                  <w:r>
                    <w:rPr>
                      <w:rFonts w:ascii="仿宋_GB2312" w:hAnsi="仿宋_GB2312" w:cs="仿宋_GB2312" w:eastAsia="仿宋_GB2312"/>
                      <w:sz w:val="20"/>
                      <w:color w:val="000000"/>
                    </w:rPr>
                    <w:t>兼容软件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1.现有一台屏控主机为国产化平台，须兼容内部专网、警综及执法办案等系统。</w:t>
                  </w:r>
                </w:p>
                <w:p>
                  <w:pPr>
                    <w:pStyle w:val="null3"/>
                    <w:jc w:val="left"/>
                  </w:pPr>
                  <w:r>
                    <w:rPr>
                      <w:rFonts w:ascii="仿宋_GB2312" w:hAnsi="仿宋_GB2312" w:cs="仿宋_GB2312" w:eastAsia="仿宋_GB2312"/>
                      <w:sz w:val="20"/>
                      <w:color w:val="000000"/>
                    </w:rPr>
                    <w:t>2.应用适配性：实现国产操作系统中运行windows应用及业务系统（包括但不限于CAD、Photoshop等软件，提供截图或视频证明材料）。</w:t>
                  </w:r>
                </w:p>
                <w:p>
                  <w:pPr>
                    <w:pStyle w:val="null3"/>
                    <w:jc w:val="left"/>
                  </w:pPr>
                  <w:r>
                    <w:rPr>
                      <w:rFonts w:ascii="仿宋_GB2312" w:hAnsi="仿宋_GB2312" w:cs="仿宋_GB2312" w:eastAsia="仿宋_GB2312"/>
                      <w:sz w:val="20"/>
                      <w:color w:val="000000"/>
                    </w:rPr>
                    <w:t>3.外设适配性：包括但不限于数字签名证书、Ukey、打印机、扫描仪及加密狗等硬件。</w:t>
                  </w:r>
                </w:p>
                <w:p>
                  <w:pPr>
                    <w:pStyle w:val="null3"/>
                    <w:jc w:val="left"/>
                  </w:pPr>
                  <w:r>
                    <w:rPr>
                      <w:rFonts w:ascii="仿宋_GB2312" w:hAnsi="仿宋_GB2312" w:cs="仿宋_GB2312" w:eastAsia="仿宋_GB2312"/>
                      <w:sz w:val="20"/>
                      <w:color w:val="000000"/>
                    </w:rPr>
                    <w:t>4.须具有信息安全测评证书扫描件。</w:t>
                  </w:r>
                </w:p>
                <w:p>
                  <w:pPr>
                    <w:pStyle w:val="null3"/>
                    <w:jc w:val="left"/>
                  </w:pPr>
                  <w:r>
                    <w:rPr>
                      <w:rFonts w:ascii="仿宋_GB2312" w:hAnsi="仿宋_GB2312" w:cs="仿宋_GB2312" w:eastAsia="仿宋_GB2312"/>
                      <w:sz w:val="20"/>
                      <w:color w:val="000000"/>
                    </w:rPr>
                    <w:t>5.须具有《计算机软件著作权登记证书》扫描件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屏控</w:t>
                  </w:r>
                </w:p>
                <w:p>
                  <w:pPr>
                    <w:pStyle w:val="null3"/>
                    <w:jc w:val="center"/>
                  </w:pPr>
                  <w:r>
                    <w:rPr>
                      <w:rFonts w:ascii="仿宋_GB2312" w:hAnsi="仿宋_GB2312" w:cs="仿宋_GB2312" w:eastAsia="仿宋_GB2312"/>
                      <w:sz w:val="20"/>
                      <w:color w:val="000000"/>
                    </w:rPr>
                    <w:t>控制软件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1.须支持iPad0S、安卓、鸿蒙、Windows、Mac 0S、麒麟等操作系统</w:t>
                  </w:r>
                </w:p>
                <w:p>
                  <w:pPr>
                    <w:pStyle w:val="null3"/>
                    <w:jc w:val="left"/>
                  </w:pPr>
                  <w:r>
                    <w:rPr>
                      <w:rFonts w:ascii="仿宋_GB2312" w:hAnsi="仿宋_GB2312" w:cs="仿宋_GB2312" w:eastAsia="仿宋_GB2312"/>
                      <w:sz w:val="20"/>
                      <w:color w:val="000000"/>
                    </w:rPr>
                    <w:t>2.须具有信号源裁剪功能，裁剪后生成子信号源，可独立使用，不影响原始信号源画面</w:t>
                  </w:r>
                </w:p>
                <w:p>
                  <w:pPr>
                    <w:pStyle w:val="null3"/>
                    <w:jc w:val="left"/>
                  </w:pPr>
                  <w:r>
                    <w:rPr>
                      <w:rFonts w:ascii="仿宋_GB2312" w:hAnsi="仿宋_GB2312" w:cs="仿宋_GB2312" w:eastAsia="仿宋_GB2312"/>
                      <w:sz w:val="20"/>
                      <w:color w:val="000000"/>
                    </w:rPr>
                    <w:t>3. 须具有字幕内容、字幕背景色、字体大小颜色、字幕位置、滚动方向与速度等自定义设置功能</w:t>
                  </w:r>
                </w:p>
                <w:p>
                  <w:pPr>
                    <w:pStyle w:val="null3"/>
                    <w:jc w:val="left"/>
                  </w:pPr>
                  <w:r>
                    <w:rPr>
                      <w:rFonts w:ascii="仿宋_GB2312" w:hAnsi="仿宋_GB2312" w:cs="仿宋_GB2312" w:eastAsia="仿宋_GB2312"/>
                      <w:sz w:val="20"/>
                      <w:color w:val="000000"/>
                    </w:rPr>
                    <w:t>4. 可上传50M超大底图，设置多种底图显示模式</w:t>
                  </w:r>
                </w:p>
                <w:p>
                  <w:pPr>
                    <w:pStyle w:val="null3"/>
                    <w:jc w:val="left"/>
                  </w:pPr>
                  <w:r>
                    <w:rPr>
                      <w:rFonts w:ascii="仿宋_GB2312" w:hAnsi="仿宋_GB2312" w:cs="仿宋_GB2312" w:eastAsia="仿宋_GB2312"/>
                      <w:sz w:val="20"/>
                      <w:color w:val="000000"/>
                    </w:rPr>
                    <w:t>5. 须具有场景保存和调用功能</w:t>
                  </w:r>
                </w:p>
                <w:p>
                  <w:pPr>
                    <w:pStyle w:val="null3"/>
                    <w:jc w:val="left"/>
                  </w:pPr>
                  <w:r>
                    <w:rPr>
                      <w:rFonts w:ascii="仿宋_GB2312" w:hAnsi="仿宋_GB2312" w:cs="仿宋_GB2312" w:eastAsia="仿宋_GB2312"/>
                      <w:sz w:val="20"/>
                      <w:color w:val="000000"/>
                    </w:rPr>
                    <w:t>6. 须具有自定义、护眼模式、文档模式、视频模式、会议模式等不同应用场景。</w:t>
                  </w:r>
                </w:p>
                <w:p>
                  <w:pPr>
                    <w:pStyle w:val="null3"/>
                    <w:jc w:val="left"/>
                  </w:pPr>
                  <w:r>
                    <w:rPr>
                      <w:rFonts w:ascii="仿宋_GB2312" w:hAnsi="仿宋_GB2312" w:cs="仿宋_GB2312" w:eastAsia="仿宋_GB2312"/>
                      <w:sz w:val="20"/>
                      <w:color w:val="000000"/>
                    </w:rPr>
                    <w:t>7. 须具有屏幕布局方式快速切换功能，内置多种布局模式，同时可自定义布局</w:t>
                  </w:r>
                </w:p>
                <w:p>
                  <w:pPr>
                    <w:pStyle w:val="null3"/>
                    <w:jc w:val="left"/>
                  </w:pPr>
                  <w:r>
                    <w:rPr>
                      <w:rFonts w:ascii="仿宋_GB2312" w:hAnsi="仿宋_GB2312" w:cs="仿宋_GB2312" w:eastAsia="仿宋_GB2312"/>
                      <w:sz w:val="20"/>
                      <w:color w:val="000000"/>
                    </w:rPr>
                    <w:t>8. 须具有AI语音识别指令功能</w:t>
                  </w:r>
                </w:p>
                <w:p>
                  <w:pPr>
                    <w:pStyle w:val="null3"/>
                    <w:jc w:val="left"/>
                  </w:pPr>
                  <w:r>
                    <w:rPr>
                      <w:rFonts w:ascii="仿宋_GB2312" w:hAnsi="仿宋_GB2312" w:cs="仿宋_GB2312" w:eastAsia="仿宋_GB2312"/>
                      <w:sz w:val="20"/>
                      <w:color w:val="000000"/>
                    </w:rPr>
                    <w:t>9. 须具有一键冻结显示画面功能，支持一键黑屏</w:t>
                  </w:r>
                </w:p>
                <w:p>
                  <w:pPr>
                    <w:pStyle w:val="null3"/>
                    <w:jc w:val="left"/>
                  </w:pPr>
                  <w:r>
                    <w:rPr>
                      <w:rFonts w:ascii="仿宋_GB2312" w:hAnsi="仿宋_GB2312" w:cs="仿宋_GB2312" w:eastAsia="仿宋_GB2312"/>
                      <w:sz w:val="20"/>
                      <w:color w:val="000000"/>
                    </w:rPr>
                    <w:t>10.须具有带CMA/CNAS/ilac-MRA认证标识的第三方检验报告扫描件（报告须体现1-9项功能）</w:t>
                  </w:r>
                </w:p>
                <w:p>
                  <w:pPr>
                    <w:pStyle w:val="null3"/>
                    <w:jc w:val="left"/>
                  </w:pPr>
                  <w:r>
                    <w:rPr>
                      <w:rFonts w:ascii="仿宋_GB2312" w:hAnsi="仿宋_GB2312" w:cs="仿宋_GB2312" w:eastAsia="仿宋_GB2312"/>
                      <w:sz w:val="20"/>
                      <w:color w:val="000000"/>
                    </w:rPr>
                    <w:t>11.须具有《计算机软件著作权登记证书》扫描件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工程结构</w:t>
                  </w:r>
                </w:p>
              </w:tc>
              <w:tc>
                <w:tcPr>
                  <w:tcW w:type="dxa" w:w="12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1.须拆除现有装修，安装屏体钢结构。</w:t>
                  </w:r>
                </w:p>
                <w:p>
                  <w:pPr>
                    <w:pStyle w:val="null3"/>
                    <w:jc w:val="left"/>
                  </w:pPr>
                  <w:r>
                    <w:rPr>
                      <w:rFonts w:ascii="仿宋_GB2312" w:hAnsi="仿宋_GB2312" w:cs="仿宋_GB2312" w:eastAsia="仿宋_GB2312"/>
                      <w:sz w:val="20"/>
                      <w:color w:val="000000"/>
                    </w:rPr>
                    <w:t>2.安装屏幕后，须恢复原有风格装修。</w:t>
                  </w:r>
                </w:p>
                <w:p>
                  <w:pPr>
                    <w:pStyle w:val="null3"/>
                    <w:jc w:val="left"/>
                  </w:pPr>
                  <w:r>
                    <w:rPr>
                      <w:rFonts w:ascii="仿宋_GB2312" w:hAnsi="仿宋_GB2312" w:cs="仿宋_GB2312" w:eastAsia="仿宋_GB2312"/>
                      <w:sz w:val="20"/>
                      <w:color w:val="000000"/>
                    </w:rPr>
                    <w:t>3.根据技术要求不破坏现有装修进行组合强弱电及音视频线路布线。屏体21.504平方，平均分成2块屏幕安装。</w:t>
                  </w:r>
                </w:p>
              </w:tc>
              <w:tc>
                <w:tcPr>
                  <w:tcW w:type="dxa" w:w="2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21.504</w:t>
                  </w:r>
                </w:p>
              </w:tc>
              <w:tc>
                <w:tcPr>
                  <w:tcW w:type="dxa" w:w="1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包装运输</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显示屏出货后运输到安装地点</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主电缆、主网线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HD线材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成交供应商按合同约定将全部采购货物安装调试完毕，且经采购人验收合格后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供应商资质证明文件.docx 法定代表人证明、法人授权书.docx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1、提供的资格证明文件是否符合国家法律法规和谈判文件的要求，并且齐全、真实、有效； 2、响应文件是否按照谈判标文件要求的格式编写； 3、响应内容是否有重大缺漏项； 4、响应报价是否具有唯一性； 5、响应文件的签署、加盖印章是否合格、有效； 6、谈判报价是否未超过采购预算； 7、响应文件是否响应了谈判文件要求的全部条款、条件和规格要求，并且提供了支持文件，没有偏离。</w:t>
            </w:r>
          </w:p>
        </w:tc>
        <w:tc>
          <w:tcPr>
            <w:tcW w:type="dxa" w:w="1661"/>
          </w:tcPr>
          <w:p>
            <w:pPr>
              <w:pStyle w:val="null3"/>
            </w:pPr>
            <w:r>
              <w:rPr>
                <w:rFonts w:ascii="仿宋_GB2312" w:hAnsi="仿宋_GB2312" w:cs="仿宋_GB2312" w:eastAsia="仿宋_GB2312"/>
              </w:rPr>
              <w:t>响应文件封面 响应方案说明.docx 技术偏离表.docx 残疾人福利性单位声明函 中小企业声明函 标的清单 商务偏离表.docx 响应函 监狱企业的证明文件 分项报价表1.docx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