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版本号：SXLX26-02-022Z（F）20260408001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中共西安市碑林区委宣传部融媒体中心数据资源库使用项目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SXLX26-02-022Z（F）</w:t>
      </w:r>
      <w:r>
        <w:br/>
      </w:r>
      <w:r>
        <w:br/>
      </w:r>
      <w:r>
        <w:br/>
      </w:r>
    </w:p>
    <w:p>
      <w:pPr>
        <w:pStyle w:val="null3"/>
        <w:jc w:val="center"/>
        <w:outlineLvl w:val="5"/>
      </w:pPr>
      <w:r>
        <w:rPr>
          <w:rFonts w:ascii="仿宋_GB2312" w:hAnsi="仿宋_GB2312" w:cs="仿宋_GB2312" w:eastAsia="仿宋_GB2312"/>
          <w:sz w:val="15"/>
          <w:b/>
        </w:rPr>
        <w:t>中共西安市碑林区委宣传部（本级）</w:t>
      </w:r>
    </w:p>
    <w:p>
      <w:pPr>
        <w:pStyle w:val="null3"/>
        <w:jc w:val="center"/>
        <w:outlineLvl w:val="5"/>
      </w:pPr>
      <w:r>
        <w:rPr>
          <w:rFonts w:ascii="仿宋_GB2312" w:hAnsi="仿宋_GB2312" w:cs="仿宋_GB2312" w:eastAsia="仿宋_GB2312"/>
          <w:sz w:val="15"/>
          <w:b/>
        </w:rPr>
        <w:t>陕西隆信项目管理有限公司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中共西安市碑林区委宣传部（本级）</w:t>
      </w:r>
      <w:r>
        <w:rPr>
          <w:rFonts w:ascii="仿宋_GB2312" w:hAnsi="仿宋_GB2312" w:cs="仿宋_GB2312" w:eastAsia="仿宋_GB2312"/>
        </w:rPr>
        <w:t>委托，拟对</w:t>
      </w:r>
      <w:r>
        <w:rPr>
          <w:rFonts w:ascii="仿宋_GB2312" w:hAnsi="仿宋_GB2312" w:cs="仿宋_GB2312" w:eastAsia="仿宋_GB2312"/>
        </w:rPr>
        <w:t>中共西安市碑林区委宣传部融媒体中心数据资源库使用项目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SXLX26-02-022Z（F）</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中共西安市碑林区委宣传部融媒体中心数据资源库使用项目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长安云平台硬件后台更新、软件技术支撑、升级管控运维等；需满足长安云平台数据资源库使用所有要求。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中共西安市碑林区委宣传部（本级）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西安市碑林区南院门27号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029-89625155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陕西省西安市雁塔区雁翔路111号赛格·中京坊6幢1单元2层10201室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马彩霞、王小琼、任甜、杜航、郑婧婧、李亚男、王真、梁嘉峰、魏晴霏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杨志刚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采购包1：830,000.00元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采购包1：830,000.00元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采购代理服务费以成交金额为基础，参照《国家计委关于印发招标代理服务收费管理暂行办法的通知》（计价格〔2002〕1980号）和国家发展改革委办公厅颁发的《关于招标代理服务收费有关问题的通知》（发改办价格〔2003〕857号）文件规定标准计算收取，具体收费金额将在成交公告中公布。 请将采购代理服务费汇至下列指定账户： 开户名称：陕西隆信项目管理有限公司 开 户 行：招商银行股份有限公司西安土门支行 账 号：129904064810902 财务部电话：029-88489979-8501 注：此服务费应计入报价中，但不需要单独开列。</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中共西安市碑林区委宣传部（本级）</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中共西安市碑林区委宣传部（本级）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长安云平台硬件后台更新、软件技术支撑、升级管控运维等；需满足长安云平台数据资源库使用所有要求。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830,000.00</w:t>
      </w:r>
    </w:p>
    <w:p>
      <w:pPr>
        <w:pStyle w:val="null3"/>
      </w:pPr>
      <w:r>
        <w:rPr>
          <w:rFonts w:ascii="仿宋_GB2312" w:hAnsi="仿宋_GB2312" w:cs="仿宋_GB2312" w:eastAsia="仿宋_GB2312"/>
        </w:rPr>
        <w:t>采购包最高限价（元）: 830,000.00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碑林区融媒体中心数据资源库使用项目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830,000.00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标的名称：碑林区融媒体中心数据资源库使用项目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一、服务内容</w:t>
            </w:r>
          </w:p>
          <w:p>
            <w:pPr>
              <w:pStyle w:val="null3"/>
              <w:ind w:firstLine="408"/>
              <w:jc w:val="both"/>
            </w:pPr>
            <w:r>
              <w:rPr>
                <w:rFonts w:ascii="仿宋_GB2312" w:hAnsi="仿宋_GB2312" w:cs="仿宋_GB2312" w:eastAsia="仿宋_GB2312"/>
                <w:sz w:val="20"/>
                <w:color w:val="000000"/>
              </w:rPr>
              <w:t>采购人依托成交供应商技术平台和人力资源优势，应用西安台</w:t>
            </w:r>
            <w:r>
              <w:rPr>
                <w:rFonts w:ascii="仿宋_GB2312" w:hAnsi="仿宋_GB2312" w:cs="仿宋_GB2312" w:eastAsia="仿宋_GB2312"/>
                <w:sz w:val="20"/>
                <w:color w:val="000000"/>
              </w:rPr>
              <w:t>“长安云”融媒体平台开展工作。即碑林区融媒体中心数据资源库使用“长安云”平台硬件后台更新、软件技术支撑、升级管控运维及设备使用等功能。</w:t>
            </w:r>
          </w:p>
          <w:p>
            <w:pPr>
              <w:pStyle w:val="null3"/>
              <w:ind w:firstLine="408"/>
              <w:jc w:val="both"/>
            </w:pPr>
            <w:r>
              <w:rPr>
                <w:rFonts w:ascii="仿宋_GB2312" w:hAnsi="仿宋_GB2312" w:cs="仿宋_GB2312" w:eastAsia="仿宋_GB2312"/>
                <w:sz w:val="20"/>
                <w:b/>
                <w:color w:val="000000"/>
              </w:rPr>
              <w:t>本项目所属软件和信息技术服务业。</w:t>
            </w:r>
            <w:r>
              <w:rPr>
                <w:rFonts w:ascii="仿宋_GB2312" w:hAnsi="仿宋_GB2312" w:cs="仿宋_GB2312" w:eastAsia="仿宋_GB2312"/>
                <w:sz w:val="20"/>
                <w:color w:val="000000"/>
              </w:rPr>
              <w:t>（从业人员</w:t>
            </w:r>
            <w:r>
              <w:rPr>
                <w:rFonts w:ascii="仿宋_GB2312" w:hAnsi="仿宋_GB2312" w:cs="仿宋_GB2312" w:eastAsia="仿宋_GB2312"/>
                <w:sz w:val="20"/>
                <w:color w:val="000000"/>
              </w:rPr>
              <w:t>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pStyle w:val="null3"/>
              <w:ind w:firstLine="408"/>
              <w:jc w:val="both"/>
            </w:pPr>
            <w:r>
              <w:rPr>
                <w:rFonts w:ascii="仿宋_GB2312" w:hAnsi="仿宋_GB2312" w:cs="仿宋_GB2312" w:eastAsia="仿宋_GB2312"/>
                <w:sz w:val="20"/>
                <w:b/>
              </w:rPr>
              <w:t>二、技术条款</w:t>
            </w:r>
          </w:p>
          <w:tbl>
            <w:tblPr>
              <w:tblInd w:type="dxa" w:w="255"/>
              <w:tblBorders>
                <w:top w:val="none" w:color="000000" w:sz="4"/>
                <w:left w:val="none" w:color="000000" w:sz="4"/>
                <w:bottom w:val="none" w:color="000000" w:sz="4"/>
                <w:right w:val="none" w:color="000000" w:sz="4"/>
                <w:insideH w:val="none"/>
                <w:insideV w:val="none"/>
              </w:tblBorders>
            </w:tblPr>
            <w:tblGrid>
              <w:gridCol w:w="530"/>
              <w:gridCol w:w="465"/>
              <w:gridCol w:w="1231"/>
              <w:gridCol w:w="327"/>
            </w:tblGrid>
            <w:tr>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配置级别</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配置名称</w:t>
                  </w:r>
                </w:p>
              </w:tc>
              <w:tc>
                <w:tcPr>
                  <w:tcW w:type="dxa" w:w="1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8"/>
                    <w:jc w:val="both"/>
                  </w:pPr>
                  <w:r>
                    <w:rPr>
                      <w:rFonts w:ascii="仿宋_GB2312" w:hAnsi="仿宋_GB2312" w:cs="仿宋_GB2312" w:eastAsia="仿宋_GB2312"/>
                      <w:sz w:val="20"/>
                      <w:color w:val="000000"/>
                    </w:rPr>
                    <w:t>用途</w:t>
                  </w:r>
                </w:p>
              </w:tc>
              <w:tc>
                <w:tcPr>
                  <w:tcW w:type="dxa" w:w="3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5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基础配置</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推流</w:t>
                  </w:r>
                  <w:r>
                    <w:rPr>
                      <w:rFonts w:ascii="仿宋_GB2312" w:hAnsi="仿宋_GB2312" w:cs="仿宋_GB2312" w:eastAsia="仿宋_GB2312"/>
                      <w:sz w:val="20"/>
                      <w:color w:val="000000"/>
                    </w:rPr>
                    <w:t>CDN</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8"/>
                    <w:jc w:val="both"/>
                  </w:pPr>
                  <w:r>
                    <w:rPr>
                      <w:rFonts w:ascii="仿宋_GB2312" w:hAnsi="仿宋_GB2312" w:cs="仿宋_GB2312" w:eastAsia="仿宋_GB2312"/>
                      <w:sz w:val="20"/>
                      <w:color w:val="000000"/>
                    </w:rPr>
                    <w:t>网络加速访问</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vMerge/>
                  <w:tcBorders>
                    <w:top w:val="none" w:color="000000" w:sz="4"/>
                    <w:left w:val="singl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VPN安全专网</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8"/>
                    <w:jc w:val="both"/>
                  </w:pPr>
                  <w:r>
                    <w:rPr>
                      <w:rFonts w:ascii="仿宋_GB2312" w:hAnsi="仿宋_GB2312" w:cs="仿宋_GB2312" w:eastAsia="仿宋_GB2312"/>
                      <w:sz w:val="20"/>
                      <w:color w:val="000000"/>
                    </w:rPr>
                    <w:t>数据传输</w:t>
                  </w:r>
                </w:p>
                <w:p>
                  <w:pPr>
                    <w:pStyle w:val="null3"/>
                    <w:ind w:firstLine="408"/>
                    <w:jc w:val="both"/>
                  </w:pPr>
                  <w:r>
                    <w:rPr>
                      <w:rFonts w:ascii="仿宋_GB2312" w:hAnsi="仿宋_GB2312" w:cs="仿宋_GB2312" w:eastAsia="仿宋_GB2312"/>
                      <w:sz w:val="20"/>
                      <w:color w:val="000000"/>
                    </w:rPr>
                    <w:t>安全通道</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基本配置</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硬件后台</w:t>
                  </w:r>
                </w:p>
                <w:p>
                  <w:pPr>
                    <w:pStyle w:val="null3"/>
                    <w:jc w:val="both"/>
                  </w:pPr>
                  <w:r>
                    <w:rPr>
                      <w:rFonts w:ascii="仿宋_GB2312" w:hAnsi="仿宋_GB2312" w:cs="仿宋_GB2312" w:eastAsia="仿宋_GB2312"/>
                      <w:sz w:val="20"/>
                      <w:color w:val="000000"/>
                    </w:rPr>
                    <w:t>更新维护</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8"/>
                    <w:jc w:val="both"/>
                  </w:pPr>
                  <w:r>
                    <w:rPr>
                      <w:rFonts w:ascii="仿宋_GB2312" w:hAnsi="仿宋_GB2312" w:cs="仿宋_GB2312" w:eastAsia="仿宋_GB2312"/>
                      <w:sz w:val="20"/>
                      <w:color w:val="000000"/>
                    </w:rPr>
                    <w:t>长安云碑林模块后台硬件系统维护运行</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0"/>
                  <w:vMerge/>
                  <w:tcBorders>
                    <w:top w:val="none" w:color="000000" w:sz="4"/>
                    <w:left w:val="singl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软件技术</w:t>
                  </w:r>
                </w:p>
                <w:p>
                  <w:pPr>
                    <w:pStyle w:val="null3"/>
                    <w:jc w:val="both"/>
                  </w:pPr>
                  <w:r>
                    <w:rPr>
                      <w:rFonts w:ascii="仿宋_GB2312" w:hAnsi="仿宋_GB2312" w:cs="仿宋_GB2312" w:eastAsia="仿宋_GB2312"/>
                      <w:sz w:val="20"/>
                      <w:color w:val="000000"/>
                    </w:rPr>
                    <w:t>支撑服务</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8"/>
                    <w:jc w:val="both"/>
                  </w:pPr>
                  <w:r>
                    <w:rPr>
                      <w:rFonts w:ascii="仿宋_GB2312" w:hAnsi="仿宋_GB2312" w:cs="仿宋_GB2312" w:eastAsia="仿宋_GB2312"/>
                      <w:sz w:val="20"/>
                      <w:color w:val="000000"/>
                    </w:rPr>
                    <w:t>长安云碑林模块融合媒体应用功能软件包（包括但不限于：内容库、音视频生产工具、平面编辑软件、碑林数据库存储空间）升级</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0"/>
                  <w:vMerge/>
                  <w:tcBorders>
                    <w:top w:val="none" w:color="000000" w:sz="4"/>
                    <w:left w:val="singl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升级管控运维</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8"/>
                    <w:jc w:val="both"/>
                  </w:pPr>
                  <w:r>
                    <w:rPr>
                      <w:rFonts w:ascii="仿宋_GB2312" w:hAnsi="仿宋_GB2312" w:cs="仿宋_GB2312" w:eastAsia="仿宋_GB2312"/>
                      <w:sz w:val="20"/>
                      <w:color w:val="000000"/>
                    </w:rPr>
                    <w:t>长安云碑林模块数据库升级（包括但不限于网络安全等级建设加固）</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增强配置</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平台使用</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8"/>
                    <w:jc w:val="both"/>
                  </w:pPr>
                  <w:r>
                    <w:rPr>
                      <w:rFonts w:ascii="仿宋_GB2312" w:hAnsi="仿宋_GB2312" w:cs="仿宋_GB2312" w:eastAsia="仿宋_GB2312"/>
                      <w:sz w:val="20"/>
                      <w:color w:val="000000"/>
                    </w:rPr>
                    <w:t>长安云、学习强国西安学习平台、原点</w:t>
                  </w:r>
                  <w:r>
                    <w:rPr>
                      <w:rFonts w:ascii="仿宋_GB2312" w:hAnsi="仿宋_GB2312" w:cs="仿宋_GB2312" w:eastAsia="仿宋_GB2312"/>
                      <w:sz w:val="20"/>
                      <w:color w:val="000000"/>
                    </w:rPr>
                    <w:t>APP碑林小原点、西安网碑林频道等平台开设频道</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0"/>
                  <w:vMerge/>
                  <w:tcBorders>
                    <w:top w:val="none" w:color="000000" w:sz="4"/>
                    <w:left w:val="singl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拆条服务</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8"/>
                    <w:jc w:val="both"/>
                  </w:pPr>
                  <w:r>
                    <w:rPr>
                      <w:rFonts w:ascii="仿宋_GB2312" w:hAnsi="仿宋_GB2312" w:cs="仿宋_GB2312" w:eastAsia="仿宋_GB2312"/>
                      <w:sz w:val="20"/>
                      <w:color w:val="000000"/>
                    </w:rPr>
                    <w:t>为区县拆条、推送</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融媒</w:t>
                  </w:r>
                  <w:r>
                    <w:rPr>
                      <w:rFonts w:ascii="仿宋_GB2312" w:hAnsi="仿宋_GB2312" w:cs="仿宋_GB2312" w:eastAsia="仿宋_GB2312"/>
                      <w:sz w:val="20"/>
                      <w:color w:val="000000"/>
                    </w:rPr>
                    <w:t>APP</w:t>
                  </w:r>
                </w:p>
              </w:tc>
              <w:tc>
                <w:tcPr>
                  <w:tcW w:type="dxa" w:w="16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8"/>
                    <w:jc w:val="both"/>
                  </w:pPr>
                  <w:r>
                    <w:rPr>
                      <w:rFonts w:ascii="仿宋_GB2312" w:hAnsi="仿宋_GB2312" w:cs="仿宋_GB2312" w:eastAsia="仿宋_GB2312"/>
                      <w:sz w:val="20"/>
                      <w:color w:val="000000"/>
                    </w:rPr>
                    <w:t>全年服务技术支撑保障及设备使用</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0"/>
                <w:b/>
              </w:rPr>
              <w:t>服务要求</w:t>
            </w:r>
            <w:r>
              <w:rPr>
                <w:rFonts w:ascii="仿宋_GB2312" w:hAnsi="仿宋_GB2312" w:cs="仿宋_GB2312" w:eastAsia="仿宋_GB2312"/>
                <w:sz w:val="20"/>
                <w:b/>
              </w:rPr>
              <w:t>：</w:t>
            </w:r>
          </w:p>
          <w:p>
            <w:pPr>
              <w:pStyle w:val="null3"/>
              <w:ind w:firstLine="420"/>
              <w:jc w:val="left"/>
            </w:pPr>
            <w:r>
              <w:rPr>
                <w:rFonts w:ascii="仿宋_GB2312" w:hAnsi="仿宋_GB2312" w:cs="仿宋_GB2312" w:eastAsia="仿宋_GB2312"/>
                <w:sz w:val="20"/>
              </w:rPr>
              <w:t>1.双方以“项目所有权与经营管理权分离，委托管理”的方式进行合作；</w:t>
            </w:r>
          </w:p>
          <w:p>
            <w:pPr>
              <w:pStyle w:val="null3"/>
              <w:ind w:firstLine="420"/>
              <w:jc w:val="left"/>
            </w:pPr>
            <w:r>
              <w:rPr>
                <w:rFonts w:ascii="仿宋_GB2312" w:hAnsi="仿宋_GB2312" w:cs="仿宋_GB2312" w:eastAsia="仿宋_GB2312"/>
                <w:sz w:val="20"/>
              </w:rPr>
              <w:t>2.按照采购人要求成交供应商派遣规定数量人员，代表成交供应商运营采购人委托的项目；</w:t>
            </w:r>
          </w:p>
          <w:p>
            <w:pPr>
              <w:pStyle w:val="null3"/>
              <w:ind w:firstLine="420"/>
              <w:jc w:val="left"/>
            </w:pPr>
            <w:r>
              <w:rPr>
                <w:rFonts w:ascii="仿宋_GB2312" w:hAnsi="仿宋_GB2312" w:cs="仿宋_GB2312" w:eastAsia="仿宋_GB2312"/>
                <w:sz w:val="20"/>
              </w:rPr>
              <w:t>3.双方按约定的权利、责任和义务，在确定的时间内完成各自的工作。</w:t>
            </w:r>
          </w:p>
          <w:p>
            <w:pPr>
              <w:pStyle w:val="null3"/>
              <w:spacing w:before="105" w:after="105"/>
              <w:jc w:val="left"/>
            </w:pPr>
            <w:r>
              <w:rPr>
                <w:rFonts w:ascii="仿宋_GB2312" w:hAnsi="仿宋_GB2312" w:cs="仿宋_GB2312" w:eastAsia="仿宋_GB2312"/>
                <w:sz w:val="20"/>
                <w:b/>
              </w:rPr>
              <w:t>三、商务条款</w:t>
            </w:r>
          </w:p>
          <w:p>
            <w:pPr>
              <w:pStyle w:val="null3"/>
              <w:ind w:firstLine="420"/>
              <w:jc w:val="left"/>
            </w:pPr>
            <w:r>
              <w:rPr>
                <w:rFonts w:ascii="仿宋_GB2312" w:hAnsi="仿宋_GB2312" w:cs="仿宋_GB2312" w:eastAsia="仿宋_GB2312"/>
                <w:sz w:val="20"/>
              </w:rPr>
              <w:t>详见采购文件</w:t>
            </w:r>
            <w:r>
              <w:rPr>
                <w:rFonts w:ascii="仿宋_GB2312" w:hAnsi="仿宋_GB2312" w:cs="仿宋_GB2312" w:eastAsia="仿宋_GB2312"/>
                <w:sz w:val="20"/>
              </w:rPr>
              <w:t>3.3商务要求。</w:t>
            </w:r>
          </w:p>
          <w:p>
            <w:pPr>
              <w:pStyle w:val="null3"/>
              <w:spacing w:before="105" w:after="105"/>
              <w:jc w:val="left"/>
            </w:pPr>
            <w:r>
              <w:rPr>
                <w:rFonts w:ascii="仿宋_GB2312" w:hAnsi="仿宋_GB2312" w:cs="仿宋_GB2312" w:eastAsia="仿宋_GB2312"/>
                <w:sz w:val="20"/>
                <w:b/>
              </w:rPr>
              <w:t>四</w:t>
            </w:r>
            <w:r>
              <w:rPr>
                <w:rFonts w:ascii="仿宋_GB2312" w:hAnsi="仿宋_GB2312" w:cs="仿宋_GB2312" w:eastAsia="仿宋_GB2312"/>
                <w:sz w:val="20"/>
                <w:b/>
              </w:rPr>
              <w:t>、本项目需要落实的政府采购政策：</w:t>
            </w:r>
          </w:p>
          <w:p>
            <w:pPr>
              <w:pStyle w:val="null3"/>
              <w:ind w:firstLine="420"/>
              <w:jc w:val="left"/>
            </w:pPr>
            <w:r>
              <w:rPr>
                <w:rFonts w:ascii="仿宋_GB2312" w:hAnsi="仿宋_GB2312" w:cs="仿宋_GB2312" w:eastAsia="仿宋_GB2312"/>
                <w:sz w:val="20"/>
              </w:rPr>
              <w:t>1.中小企业发展政策：《关于进一步加大政府采购支持中小企业力度的通知》（财库〔2022〕19号）《政府采购促进中小企业发展管理办法》（财库〔2020〕46号）；《财政部、司法部关于政府采购支持监狱企业发展有关问题的通知》（财库〔2014〕68号）；《关于促进残疾人就业政府采购政策的通知》（财库〔2017〕141号）；《陕西省中小企业政府采购信用融资办法》（陕财办采〔2018〕23号）。</w:t>
            </w:r>
          </w:p>
          <w:p>
            <w:pPr>
              <w:pStyle w:val="null3"/>
              <w:ind w:firstLine="420"/>
              <w:jc w:val="left"/>
            </w:pPr>
            <w:r>
              <w:rPr>
                <w:rFonts w:ascii="仿宋_GB2312" w:hAnsi="仿宋_GB2312" w:cs="仿宋_GB2312" w:eastAsia="仿宋_GB2312"/>
                <w:sz w:val="20"/>
              </w:rPr>
              <w:t>2.绿色发展政策：《国务院办公厅关于建立政府强制采购节能产品制度的通知》（国办发〔2007〕51号）；《关于印发环境标志产品政府采购品目清单的通知》（财库〔2019〕18号）《关于印发节能产品政府采购品目清单的通知》（财库〔2019〕19号）；《财政部、国家发展改革委、生态环境部、市场监管总局关于调整优化节能产品、环境标志产品政府采购执行机制的通知》（财库〔2019〕9号）；《商品包装政府采购需求标准（试行）》和《快递包装政府采购需求标准（试行）》（财办库〔2020〕123号）。</w:t>
            </w:r>
          </w:p>
          <w:p>
            <w:pPr>
              <w:pStyle w:val="null3"/>
              <w:ind w:firstLine="420"/>
              <w:jc w:val="left"/>
            </w:pPr>
            <w:r>
              <w:rPr>
                <w:rFonts w:ascii="仿宋_GB2312" w:hAnsi="仿宋_GB2312" w:cs="仿宋_GB2312" w:eastAsia="仿宋_GB2312"/>
                <w:sz w:val="20"/>
              </w:rPr>
              <w:t>3.支持本国产业政策：《财政部关于印发&lt;进口产品管理办法&gt;的通知》（财库〔2007〕119号）；《财政部办公厅关于政府采购进口产品管理有关问题的通知》（财办库〔2008〕248号）。</w:t>
            </w:r>
          </w:p>
          <w:p>
            <w:pPr>
              <w:pStyle w:val="null3"/>
            </w:pPr>
            <w:r>
              <w:rPr>
                <w:rFonts w:ascii="仿宋_GB2312" w:hAnsi="仿宋_GB2312" w:cs="仿宋_GB2312" w:eastAsia="仿宋_GB2312"/>
                <w:sz w:val="20"/>
              </w:rPr>
              <w:t xml:space="preserve">  4.支持创新等政府采购政策。</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按照采购人要求派遣规定数量人员，代运营采购人委托的项目；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根据采购内容匹配相关设备。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西安市碑林区南院门27号。</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采购人收到发票后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成交供应商接受采购人、采购代理机构的检查验证，配合提供相关证明材料（1.财务状况报告；2.税收缴纳证明；3.社保资金缴纳证明；4.被授权代表的身份证复印件以及2026年1月至今任意时段在本单位注册的已缴纳的社会保障资金缴存单据或社保机构开具的社会保险参保缴费情况证明；5.成交供应商的业绩；以上5项具体要求详见合同附件），证明符合《中华人民共和国政府采购法》规定的供应商基本资格条件。供应商应对其资格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有违法所得的，并处没收违法所得，情节严重的，由市场监督部门吊销营业执照；构成犯罪的，依法追究刑事责任。 二、成交供应商在领取成交通知书时提供纸质版投标文件2套，应通过专用制作软件直接打印，确保与电子投标文件保持一致，不允许修改和补充。提交地点：陕西省西安市雁塔区雁翔路111号赛格·中京坊公寓A一单元二层招标二部。 三、供应商的报价是供应商响应本项目要求的全部工作内容的价格体现，包括供应商完成本项目所需的直接费、间接费、利润、税金及其他相关的一切费用。包括但不限于：人工费、设备费、管理费、验收费、采购代理服务费、利润和税金等全部费用。在提供服务的过程中的任何遗漏，均由成交供应商免费提供，采购人将不再支付任何费用。 四、协商有效期 1.出现特殊情况需要延长响应有效期的，采购代理机构或采购人可于响应有效期满之前，以书面形式通知所有供应商延长响应有效期。供应商应予书面答复，同意延长的，应相应延长其协商保证金（如有）有效期，但不得要求或被允许修改其响应文件；供应商拒绝延长的，其响应文件失效，递交协商保证金的，供应商有权收回其协商保证金。 2.在响应有效期内，供应商撤销响应文件的，应承担采购文件和法律规定的责任。 3.成交供应商的响应有效期自动延长至合同终止为止。 五、分公司独立参与协商时，不能使用总公司的资质或业绩；总公司授权分公司或分支机构参与协商，可以使用总公司的资质或业绩。总公司单独参与协商时，可以使用分公司的业绩，在相关资质证书的管理要求和适用范围内可以使用分公司资质。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七、签名是指手写签名或者加盖名章(含电子签名或电子印章)，盖章是指加盖单位印章。 八、关于采购文件一次报价规定如下: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 九、最终报价如出现异常低价，执行财库〔2026〕2号《关于推动解决政府采购异常低价问题的通知》，协商小组可在最后报价审查表中审核是否通过审查。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 (2)法定代表人（单位负责人）参加协商的，提供本人身份证复印件；法定代表人（单位负责人）授权他人参加协商的，提供法定代表人（单位负责人）委托授权书及被授权代表的身份证复印件、被授权代表的参保缴费证明（须附可查询的验证编号或验证二维码）； （3）供应商提供的投标（响应）函； （4）供应商不得被列入“信用中国”网站(https://www.creditchina.gov.cn/)“失信被执行人”（页面跳转至“中国执行信息公开网”http://zxgk.court.gov.cn/shixin/）、“重大税收违法失信主体”；不得处于中国政府采购网(http://www.ccgp.gov.cn/)“政府采购严重违法失信行为记录名单”中的禁止参加政府采购活动期间。 注：1.按照《中华人民共和国政府采购法》有关规定，采购代理机构依法对供应商的资格进行审查，并组建资格审查小组； 2.资格审查小组，由经采购人授权的采购人代表和采购代理机构工作人员组成，由采购代理机构项目经理担任资格审查小组组长； 3.资格审查小组成立后，全体小组成员应当在签到表中签到。</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供应商响应文件满足采购文件中的实质性要求。</w:t>
            </w:r>
          </w:p>
        </w:tc>
        <w:tc>
          <w:tcPr>
            <w:tcW w:type="dxa" w:w="1661"/>
          </w:tcPr>
          <w:p>
            <w:pPr>
              <w:pStyle w:val="null3"/>
            </w:pPr>
            <w:r>
              <w:rPr>
                <w:rFonts w:ascii="仿宋_GB2312" w:hAnsi="仿宋_GB2312" w:cs="仿宋_GB2312" w:eastAsia="仿宋_GB2312"/>
              </w:rPr>
              <w:t>响应文件封面 资格证明文件 商务技术文件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协商过程中，协商小组认为供应商报价明显低于其他通过符合性审查供应商的报价，有可能影响产品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报价合理性的，协商小组应当将其响应文件作为无效处理。</w:t>
            </w:r>
          </w:p>
        </w:tc>
        <w:tc>
          <w:tcPr>
            <w:tcW w:type="dxa" w:w="1661"/>
          </w:tcPr>
          <w:p>
            <w:pPr>
              <w:pStyle w:val="null3"/>
            </w:pPr>
            <w:r>
              <w:rPr>
                <w:rFonts w:ascii="仿宋_GB2312" w:hAnsi="仿宋_GB2312" w:cs="仿宋_GB2312" w:eastAsia="仿宋_GB2312"/>
              </w:rPr>
              <w:t>商务技术文件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响应文件中不存在采购文件规定的无效情形</w:t>
            </w:r>
          </w:p>
        </w:tc>
        <w:tc>
          <w:tcPr>
            <w:tcW w:type="dxa" w:w="1661"/>
          </w:tcPr>
          <w:p>
            <w:pPr>
              <w:pStyle w:val="null3"/>
            </w:pPr>
            <w:r>
              <w:rPr>
                <w:rFonts w:ascii="仿宋_GB2312" w:hAnsi="仿宋_GB2312" w:cs="仿宋_GB2312" w:eastAsia="仿宋_GB2312"/>
              </w:rPr>
              <w:t>响应文件封面 资格证明文件 商务技术文件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资格证明文件 商务技术文件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资格证明文件 商务技术文件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商务技术文件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应满足采购文件中要求的服务期限</w:t>
            </w:r>
          </w:p>
        </w:tc>
        <w:tc>
          <w:tcPr>
            <w:tcW w:type="dxa" w:w="1661"/>
          </w:tcPr>
          <w:p>
            <w:pPr>
              <w:pStyle w:val="null3"/>
            </w:pPr>
            <w:r>
              <w:rPr>
                <w:rFonts w:ascii="仿宋_GB2312" w:hAnsi="仿宋_GB2312" w:cs="仿宋_GB2312" w:eastAsia="仿宋_GB2312"/>
              </w:rPr>
              <w:t>商务技术文件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应符合采购文件中的规定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w:t>
      </w:r>
    </w:p>
    <w:p>
      <w:pPr>
        <w:pStyle w:val="null3"/>
        <w:ind w:firstLine="960"/>
      </w:pPr>
      <w:r>
        <w:rPr>
          <w:rFonts w:ascii="仿宋_GB2312" w:hAnsi="仿宋_GB2312" w:cs="仿宋_GB2312" w:eastAsia="仿宋_GB2312"/>
        </w:rPr>
        <w:t>详见附件：资格证明文件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