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版本号：JZZB2026-103020260409001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碑林区困境儿童“身心工程”试点项目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JZZB2026-1030</w:t>
      </w:r>
      <w:r>
        <w:br/>
      </w:r>
      <w:r>
        <w:br/>
      </w:r>
      <w:r>
        <w:br/>
      </w:r>
    </w:p>
    <w:p>
      <w:pPr>
        <w:pStyle w:val="null3"/>
        <w:jc w:val="center"/>
        <w:outlineLvl w:val="2"/>
      </w:pPr>
      <w:r>
        <w:rPr>
          <w:rFonts w:ascii="仿宋_GB2312" w:hAnsi="仿宋_GB2312" w:cs="仿宋_GB2312" w:eastAsia="仿宋_GB2312"/>
          <w:sz w:val="28"/>
          <w:b/>
        </w:rPr>
        <w:t>西安市碑林区民政局（本级）</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西安市碑林区民政局（本级）</w:t>
      </w:r>
      <w:r>
        <w:rPr>
          <w:rFonts w:ascii="仿宋_GB2312" w:hAnsi="仿宋_GB2312" w:cs="仿宋_GB2312" w:eastAsia="仿宋_GB2312"/>
        </w:rPr>
        <w:t>委托，拟对</w:t>
      </w:r>
      <w:r>
        <w:rPr>
          <w:rFonts w:ascii="仿宋_GB2312" w:hAnsi="仿宋_GB2312" w:cs="仿宋_GB2312" w:eastAsia="仿宋_GB2312"/>
        </w:rPr>
        <w:t>碑林区困境儿童“身心工程”试点项目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JZZB2026-1030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碑林区困境儿童“身心工程”试点项目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碑林区困境儿童“身心工程”试点项目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采购包1（碑林区困境儿童“身心工程”试点项目）：属于专门面向中小企业采购。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要求：拟派本项目的项目经理必须为本单位的注册人员且具备建筑工程专业二级及以上建造师注册证书及开标前半年内不少于连续三个月的本企业为其缴纳社保证明（五险一金任一即可），具备有效的安全生产考核合格证书，且未担任其他在建工程项目的项目经理（提供无在建工程承诺书）； 附证件的复印件或扫描件及承诺书。</w:t>
      </w:r>
    </w:p>
    <w:p>
      <w:pPr>
        <w:pStyle w:val="null3"/>
      </w:pPr>
      <w:r>
        <w:rPr>
          <w:rFonts w:ascii="仿宋_GB2312" w:hAnsi="仿宋_GB2312" w:cs="仿宋_GB2312" w:eastAsia="仿宋_GB2312"/>
        </w:rPr>
        <w:t>2、法定代表人身份证明或法定代表人授权书：法定代表人直接参加投标的，须出具法人身份证明及身份证扫描件；法定代表人授权代表参加投标的，须出具法定代表人授权书及授权代表身份证扫描件。</w:t>
      </w:r>
    </w:p>
    <w:p>
      <w:pPr>
        <w:pStyle w:val="null3"/>
      </w:pPr>
      <w:r>
        <w:rPr>
          <w:rFonts w:ascii="仿宋_GB2312" w:hAnsi="仿宋_GB2312" w:cs="仿宋_GB2312" w:eastAsia="仿宋_GB2312"/>
        </w:rPr>
        <w:t>3、企业资质：投标人须具有建筑工程施工总承包三级及以上资质或建筑装修装饰工程专业承包二级及以上资质，具备有效的安全生产许可证；附资质证书的复印件或扫描件。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西安市碑林区南院门27号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韩圆鑫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029-89625273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029-87976716转603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的有关规定标准收取，最高限价编制费依据[陕价行发〔2014〕88号]文有关规定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西安市碑林区民政局（本级）</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联系电话：029-87976716转603</w:t>
      </w:r>
    </w:p>
    <w:p>
      <w:pPr>
        <w:pStyle w:val="null3"/>
      </w:pPr>
      <w:r>
        <w:rPr>
          <w:rFonts w:ascii="仿宋_GB2312" w:hAnsi="仿宋_GB2312" w:cs="仿宋_GB2312" w:eastAsia="仿宋_GB2312"/>
        </w:rPr>
        <w:t>地址：陕西省西安市碑林区更新街13号铭爵大厦7楼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1,066,765.35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装饰装修打造特色功能室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标的名称：装饰装修打造特色功能室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工程内容：依托碑林区未成年人救助保护中心，选取总面积约</w:t>
            </w:r>
            <w:r>
              <w:rPr>
                <w:rFonts w:ascii="仿宋_GB2312" w:hAnsi="仿宋_GB2312" w:cs="仿宋_GB2312" w:eastAsia="仿宋_GB2312"/>
              </w:rPr>
              <w:t>594.8㎡建设碑林区未成年人救助保护中心心理健康服务基地，总4层楼装饰装修，打造六大特色功能室：音乐放松室、情绪宣泄室、家庭辅导室、心理咨询室、绘画阅览室；主要目标:通过硬件改造（装饰装修） 和功能分区（六大特色功能室） 两大核心板块，为碑林区未成年人构建一个集心理疏导、情绪管理、家庭支持、咨询服务、艺术疗愈、团体活动及教育于一体的综合性、专业化的心理健康服务基地，从而提升碑林区未成年人的心理健康服务水平，完善未成年人救助保护体系；通过专业化装饰装修工程，构建一个安全、舒适、功能完备的心理健康服务基地，以六大特色功能室为载体，为碑林区未成年人提供心理健康疏导、情绪管理、家庭支持和教育活动。 所有需求必须优先保障未成年人福祉，并定期评估执行效果。</w:t>
            </w:r>
          </w:p>
          <w:p>
            <w:pPr>
              <w:pStyle w:val="null3"/>
            </w:pPr>
            <w:r>
              <w:rPr>
                <w:rFonts w:ascii="仿宋_GB2312" w:hAnsi="仿宋_GB2312" w:cs="仿宋_GB2312" w:eastAsia="仿宋_GB2312"/>
              </w:rPr>
              <w:t>二、</w:t>
            </w:r>
            <w:r>
              <w:rPr>
                <w:rFonts w:ascii="仿宋_GB2312" w:hAnsi="仿宋_GB2312" w:cs="仿宋_GB2312" w:eastAsia="仿宋_GB2312"/>
              </w:rPr>
              <w:t>工程地点：</w:t>
            </w:r>
            <w:r>
              <w:rPr>
                <w:rFonts w:ascii="仿宋_GB2312" w:hAnsi="仿宋_GB2312" w:cs="仿宋_GB2312" w:eastAsia="仿宋_GB2312"/>
              </w:rPr>
              <w:t>采购人指定地点</w:t>
            </w:r>
          </w:p>
          <w:p>
            <w:pPr>
              <w:pStyle w:val="null3"/>
            </w:pPr>
            <w:r>
              <w:rPr>
                <w:rFonts w:ascii="仿宋_GB2312" w:hAnsi="仿宋_GB2312" w:cs="仿宋_GB2312" w:eastAsia="仿宋_GB2312"/>
              </w:rPr>
              <w:t>三、</w:t>
            </w:r>
            <w:r>
              <w:rPr>
                <w:rFonts w:ascii="仿宋_GB2312" w:hAnsi="仿宋_GB2312" w:cs="仿宋_GB2312" w:eastAsia="仿宋_GB2312"/>
              </w:rPr>
              <w:t>计划工期：</w:t>
            </w:r>
            <w:r>
              <w:rPr>
                <w:rFonts w:ascii="仿宋_GB2312" w:hAnsi="仿宋_GB2312" w:cs="仿宋_GB2312" w:eastAsia="仿宋_GB2312"/>
              </w:rPr>
              <w:t>60日历日内竣工</w:t>
            </w:r>
          </w:p>
          <w:p>
            <w:pPr>
              <w:pStyle w:val="null3"/>
            </w:pPr>
            <w:r>
              <w:rPr>
                <w:rFonts w:ascii="仿宋_GB2312" w:hAnsi="仿宋_GB2312" w:cs="仿宋_GB2312" w:eastAsia="仿宋_GB2312"/>
              </w:rPr>
              <w:t>四、</w:t>
            </w:r>
            <w:r>
              <w:rPr>
                <w:rFonts w:ascii="仿宋_GB2312" w:hAnsi="仿宋_GB2312" w:cs="仿宋_GB2312" w:eastAsia="仿宋_GB2312"/>
              </w:rPr>
              <w:t>缺陷责任期：</w:t>
            </w:r>
            <w:r>
              <w:rPr>
                <w:rFonts w:ascii="仿宋_GB2312" w:hAnsi="仿宋_GB2312" w:cs="仿宋_GB2312" w:eastAsia="仿宋_GB2312"/>
              </w:rPr>
              <w:t>2年</w:t>
            </w:r>
          </w:p>
          <w:p>
            <w:pPr>
              <w:pStyle w:val="null3"/>
            </w:pPr>
            <w:r>
              <w:rPr>
                <w:rFonts w:ascii="仿宋_GB2312" w:hAnsi="仿宋_GB2312" w:cs="仿宋_GB2312" w:eastAsia="仿宋_GB2312"/>
              </w:rPr>
              <w:t>五、</w:t>
            </w:r>
            <w:r>
              <w:rPr>
                <w:rFonts w:ascii="仿宋_GB2312" w:hAnsi="仿宋_GB2312" w:cs="仿宋_GB2312" w:eastAsia="仿宋_GB2312"/>
              </w:rPr>
              <w:t>质量保修期：</w:t>
            </w:r>
            <w:r>
              <w:rPr>
                <w:rFonts w:ascii="仿宋_GB2312" w:hAnsi="仿宋_GB2312" w:cs="仿宋_GB2312" w:eastAsia="仿宋_GB2312"/>
              </w:rPr>
              <w:t>2年</w:t>
            </w:r>
          </w:p>
          <w:p>
            <w:pPr>
              <w:pStyle w:val="null3"/>
            </w:pPr>
            <w:r>
              <w:rPr>
                <w:rFonts w:ascii="仿宋_GB2312" w:hAnsi="仿宋_GB2312" w:cs="仿宋_GB2312" w:eastAsia="仿宋_GB2312"/>
              </w:rPr>
              <w:t>六、质量要求：符合国家现行有关施工质量验收规范要求“合格”标准。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《建筑工程施工质量验收统一标准》(GB50300-2025)</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 ，自然人参与的提供其身份证明。 2、法定代表人直接参加投标的，须出具法人身份证明及身份证扫描件；法定代表人授权代表参加投标的，须出具法定代表人授权书及授权代表身份证扫描件。 3、具备良好的商业信誉，提供参加政府采购活动前3年内在经营活动中没有重大违法记录的书面声明。 4、提供健全的财务会计制度的证明材料供应商提供2023或2024年完整的财务审计报告（至少包括资产负债表和利润表，成立时间至提交响应文件截止时间不足一年的可提供成立后任意时段的资产负债表），或其开标前六个月内银行开具的资信证明。 5、提供已缴存的2025年4月至今任意一个月的社会保障资金缴存单据或社保机构开具的社会保险参保缴费情况证明，单据或证明上应有社保机构或代收机构的公章。依法不需要缴纳社会保障资金的供应商应提关文件证明。 6、提供已缴纳的2025年4月至今任意一个月的纳税证明或完税证明， 纳税证明或完税证明上应有代收机构或税务机关的公章。依法免税的供应商应提供相关文件证明。 7、具有履行合同所必需的设备和专业技术能力承诺书。 8、提供不得为“信用中国”网站(http://www.creditchina.gov.cn)列入“失信被执行人（页面跳转至“中国执行信息公开网”htt p://zxgk.court.gov.cn/shixin/）、重大税收违法失信主体”的投标人；不得为中国政府采购网(htt p://www.ccgp.gov.cn)“政府采购严重违法失信行为记录名单”的投标人。供应商需在项目电子化交易系统中按要求填写《投标函》完成承诺并进行电子签章。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资格证明文件.docx 其他证明资料.docx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资格证明文件.docx 其他证明资料.docx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 其他证明资料.docx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本项目的项目经理必须为本单位的注册人员且具备建筑工程专业二级及以上建造师注册证书及开标前半年内不少于连续三个月的本企业为其缴纳社保证明（五险一金任一即可），具备有效的安全生产考核合格证书，且未担任其他在建工程项目的项目经理（提供无在建工程承诺书）； 附证件的复印件或扫描件及承诺书。</w:t>
            </w:r>
          </w:p>
        </w:tc>
        <w:tc>
          <w:tcPr>
            <w:tcW w:type="dxa" w:w="1661"/>
          </w:tcPr>
          <w:p>
            <w:pPr>
              <w:pStyle w:val="null3"/>
            </w:pPr>
            <w:r>
              <w:rPr>
                <w:rFonts w:ascii="仿宋_GB2312" w:hAnsi="仿宋_GB2312" w:cs="仿宋_GB2312" w:eastAsia="仿宋_GB2312"/>
              </w:rPr>
              <w:t>项目管理机构组成表 主要人员简历表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法定代表人直接参加投标的，须出具法人身份证明及身份证扫描件；法定代表人授权代表参加投标的，须出具法定代表人授权书及授权代表身份证扫描件。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投标人须具有建筑工程施工总承包三级及以上资质或建筑装修装饰工程专业承包二级及以上资质，具备有效的安全生产许可证；附资质证书的复印件或扫描件。</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投标方案说明.docx 中小企业声明函 技术服务合同条款及其他商务要求应答表 供应商应提交的相关资格证明材料 资格证明文件.docx 强制优先采购产品承诺函 响应文件封面 项目管理机构组成表 残疾人福利性单位声明函 报价函 标的清单 供应商类似项目业绩一览表 响应函 主要人员简历表 监狱企业的证明文件 其他证明资料.docx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总体施工组织布置及规划</w:t>
            </w:r>
          </w:p>
        </w:tc>
        <w:tc>
          <w:tcPr>
            <w:tcW w:type="dxa" w:w="2492"/>
          </w:tcPr>
          <w:p>
            <w:pPr>
              <w:pStyle w:val="null3"/>
            </w:pPr>
            <w:r>
              <w:rPr>
                <w:rFonts w:ascii="仿宋_GB2312" w:hAnsi="仿宋_GB2312" w:cs="仿宋_GB2312" w:eastAsia="仿宋_GB2312"/>
              </w:rPr>
              <w:t>针对本项目提供科学、可行、合理的总体施工组织布置及规划，满足采购人需求。 1.总体施工组织布置及规划内容详尽，全面、具体、可行、科学合理，得10分； 2.总体施工组织布置及规划内容较详尽，比较全面、可行，得8分； 3.总体施工组织布置及规划没有明显缺漏，相对全面，得6分； 4.总体施工组织布置及规划基本全面，有一定合理性，得4分； 5.总体施工组织布置及规划简单，合理性差的得2分； 6.不满足项目要求或未提供不计分。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针对本项目提供科学、可行、合理的施工方案、方法与技术措施，满足采购人需求。 1.施工方案、方法与技术措施全面、具体、可行、科学合理，得6分； 2.施工方案、方法与技术措施比较全面、具体、可行，得3分； 3.施工方案、方法与技术措施简单，有一定的合理性得1分；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质量保证体系及措施</w:t>
            </w:r>
          </w:p>
        </w:tc>
        <w:tc>
          <w:tcPr>
            <w:tcW w:type="dxa" w:w="2492"/>
          </w:tcPr>
          <w:p>
            <w:pPr>
              <w:pStyle w:val="null3"/>
            </w:pPr>
            <w:r>
              <w:rPr>
                <w:rFonts w:ascii="仿宋_GB2312" w:hAnsi="仿宋_GB2312" w:cs="仿宋_GB2312" w:eastAsia="仿宋_GB2312"/>
              </w:rPr>
              <w:t>针对本项目提供的项目质量保证体系及措施科学、合理、可行，满足采购人需求。 1.质量保证体系及措施科学、合理、可行得5分； 2.质量保证体系及措施内容较完善，有一定的科学性、可行性得3分； 3.质量保证体系及措施内容简单，可行性差得1分；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针对本项目提供的项目安全保证措施科学、合理、可行，满足采购人需求。 1.安全保证措施科学、合理、可行得5分； 2.安全保证措施内容较完善，有一定的科学性、可行性得3分； 3.安全保证措施内容简单，可行性差得1分；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项目进度计划和工期目标</w:t>
            </w:r>
          </w:p>
        </w:tc>
        <w:tc>
          <w:tcPr>
            <w:tcW w:type="dxa" w:w="2492"/>
          </w:tcPr>
          <w:p>
            <w:pPr>
              <w:pStyle w:val="null3"/>
            </w:pPr>
            <w:r>
              <w:rPr>
                <w:rFonts w:ascii="仿宋_GB2312" w:hAnsi="仿宋_GB2312" w:cs="仿宋_GB2312" w:eastAsia="仿宋_GB2312"/>
              </w:rPr>
              <w:t>针对本项目提供的项目进度计划和工期目标，项目进度计划和工期目标科学、合理、可行，满足采购人需求。 1.项目进度计划和工期目标科学、合理、可行得6分； 2.项目进度计划和工期安排内容较完善，有一定的科学性、可行性得3分； 3.项目进度计划和工期内容简单，可行性差得1分；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1.拟投入本项目人员数量充足，专业人员配置齐全、针对性强、分工明确，能够满足采购人项目需求的得5分； 2.人员配备数量一般，专业人员配备能够基本满足项目实施需要，分工有一定的合理性，基本能满足项目需求的得3分； 3.人员配备数量较少，专业人员配备不齐全的得1分；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拟投入本项目主要机具、设备和劳动力配置情况</w:t>
            </w:r>
          </w:p>
        </w:tc>
        <w:tc>
          <w:tcPr>
            <w:tcW w:type="dxa" w:w="2492"/>
          </w:tcPr>
          <w:p>
            <w:pPr>
              <w:pStyle w:val="null3"/>
            </w:pPr>
            <w:r>
              <w:rPr>
                <w:rFonts w:ascii="仿宋_GB2312" w:hAnsi="仿宋_GB2312" w:cs="仿宋_GB2312" w:eastAsia="仿宋_GB2312"/>
              </w:rPr>
              <w:t>拟投入本项目主要机具、设备和劳动力配置情况，磋商小组可根据拟投入本项目设备情况自主打分。 1.拟投入的主要机具、设备和劳动力充分、能满足项目需要得6分； 2.拟投入的主要机具、设备和劳动力较充分、基本满足项目需要得3分； 3.拟投入的主要机具、设备和劳动力有缺漏、配备不齐全得1分； 4.不满足项目要求或未提供不计分。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根据采购人意见及时调整人员及服务方案的承诺： 1.承诺具体、详细、可行得5分； 2.承诺较具体、内容较全面、较可行得3分； 3.承诺内容简单、可行性较差的得1分；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 1.项目风险预测与防范，事故应急预案科学、合理、可行得5分； 2.项目风险预测与防范，事故应急预案内容较完善，有一定的科学性、可行性得3分； 3.项目风险预测与防范，事故应急预案内容简单，可行性差得1分； 4.不满足项目要求或未提供不计分。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质量保修承诺： 1.完整、科学、合理、可行得7分； 2.质量保修承诺较完整、较科学、较可行得4分； 3.质量保修承诺简单得1分； 4.不满足项目要求或未提供不计分。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2022年1月1日以来承接过类似项目的合同证明（以合同的签订日期为准）（每提供一个得2.5分，满分5分）（合同内容须清晰可辨认，无涂改，否则视为无效合同）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其他证明资料.docx</w:t>
            </w:r>
          </w:p>
        </w:tc>
      </w:tr>
      <w:tr>
        <w:tc>
          <w:tcPr>
            <w:tcW w:type="dxa" w:w="831"/>
            <w:vMerge/>
          </w:tcPr>
          <w:p/>
        </w:tc>
        <w:tc>
          <w:tcPr>
            <w:tcW w:type="dxa" w:w="1661"/>
          </w:tcPr>
          <w:p>
            <w:pPr>
              <w:pStyle w:val="null3"/>
            </w:pPr>
            <w:r>
              <w:rPr>
                <w:rFonts w:ascii="仿宋_GB2312" w:hAnsi="仿宋_GB2312" w:cs="仿宋_GB2312" w:eastAsia="仿宋_GB2312"/>
              </w:rPr>
              <w:t>拟派项目负责人业绩证明</w:t>
            </w:r>
          </w:p>
        </w:tc>
        <w:tc>
          <w:tcPr>
            <w:tcW w:type="dxa" w:w="2492"/>
          </w:tcPr>
          <w:p>
            <w:pPr>
              <w:pStyle w:val="null3"/>
            </w:pPr>
            <w:r>
              <w:rPr>
                <w:rFonts w:ascii="仿宋_GB2312" w:hAnsi="仿宋_GB2312" w:cs="仿宋_GB2312" w:eastAsia="仿宋_GB2312"/>
              </w:rPr>
              <w:t>2022年1月1日以来承接过类似项目的合同证明（以合同的签订日期为准）（每提供一个得2.5分，满分5分）（合同内容须清晰可辨认，无涂改，否则视为无效合同）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详见附件：其他证明资料.docx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