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380166">
      <w:pPr>
        <w:spacing w:line="360" w:lineRule="auto"/>
        <w:jc w:val="center"/>
        <w:rPr>
          <w:rFonts w:ascii="等线" w:hAnsi="等线" w:eastAsia="等线" w:cs="仿宋"/>
          <w:b/>
          <w:bCs/>
          <w:color w:val="auto"/>
          <w:sz w:val="52"/>
          <w:szCs w:val="52"/>
          <w:highlight w:val="none"/>
        </w:rPr>
      </w:pPr>
      <w:r>
        <w:rPr>
          <w:rFonts w:hint="eastAsia" w:ascii="等线" w:hAnsi="等线" w:eastAsia="等线" w:cs="仿宋"/>
          <w:b/>
          <w:bCs/>
          <w:color w:val="auto"/>
          <w:sz w:val="52"/>
          <w:szCs w:val="52"/>
          <w:highlight w:val="none"/>
        </w:rPr>
        <w:t>莲湖区北关社区卫生服务中心32排CT采购项目</w:t>
      </w:r>
    </w:p>
    <w:p w14:paraId="19402F23">
      <w:pPr>
        <w:spacing w:line="360" w:lineRule="auto"/>
        <w:jc w:val="center"/>
        <w:rPr>
          <w:rFonts w:ascii="等线" w:hAnsi="等线" w:eastAsia="等线" w:cs="仿宋"/>
          <w:b/>
          <w:bCs/>
          <w:color w:val="auto"/>
          <w:sz w:val="52"/>
          <w:szCs w:val="52"/>
          <w:highlight w:val="none"/>
        </w:rPr>
      </w:pPr>
    </w:p>
    <w:p w14:paraId="06D6532F">
      <w:pPr>
        <w:spacing w:line="360" w:lineRule="auto"/>
        <w:jc w:val="center"/>
        <w:rPr>
          <w:rFonts w:ascii="等线" w:hAnsi="等线" w:eastAsia="等线" w:cs="仿宋"/>
          <w:b/>
          <w:bCs/>
          <w:color w:val="auto"/>
          <w:sz w:val="52"/>
          <w:szCs w:val="52"/>
          <w:highlight w:val="none"/>
        </w:rPr>
      </w:pPr>
      <w:r>
        <w:rPr>
          <w:rFonts w:hint="eastAsia" w:ascii="等线" w:hAnsi="等线" w:eastAsia="等线" w:cs="仿宋"/>
          <w:b/>
          <w:bCs/>
          <w:color w:val="auto"/>
          <w:sz w:val="52"/>
          <w:szCs w:val="52"/>
          <w:highlight w:val="none"/>
        </w:rPr>
        <w:t>采购合同</w:t>
      </w:r>
    </w:p>
    <w:p w14:paraId="00F118F9">
      <w:pPr>
        <w:jc w:val="center"/>
        <w:rPr>
          <w:rFonts w:ascii="等线" w:hAnsi="等线" w:eastAsia="等线" w:cs="仿宋"/>
          <w:b/>
          <w:bCs/>
          <w:color w:val="auto"/>
          <w:sz w:val="44"/>
          <w:szCs w:val="44"/>
          <w:highlight w:val="none"/>
        </w:rPr>
      </w:pPr>
    </w:p>
    <w:p w14:paraId="159D1758">
      <w:pPr>
        <w:rPr>
          <w:rFonts w:ascii="等线" w:hAnsi="等线" w:eastAsia="等线" w:cs="仿宋"/>
          <w:color w:val="auto"/>
          <w:highlight w:val="none"/>
        </w:rPr>
      </w:pPr>
    </w:p>
    <w:p w14:paraId="0947863D">
      <w:pPr>
        <w:rPr>
          <w:rFonts w:ascii="等线" w:hAnsi="等线" w:eastAsia="等线" w:cs="仿宋"/>
          <w:color w:val="auto"/>
          <w:highlight w:val="none"/>
        </w:rPr>
      </w:pPr>
    </w:p>
    <w:p w14:paraId="1CB321BC">
      <w:pPr>
        <w:rPr>
          <w:rFonts w:ascii="等线" w:hAnsi="等线" w:eastAsia="等线" w:cs="仿宋"/>
          <w:color w:val="auto"/>
          <w:highlight w:val="none"/>
        </w:rPr>
      </w:pPr>
    </w:p>
    <w:p w14:paraId="7C5D425A">
      <w:pPr>
        <w:rPr>
          <w:rFonts w:ascii="等线" w:hAnsi="等线" w:eastAsia="等线" w:cs="仿宋"/>
          <w:color w:val="auto"/>
          <w:highlight w:val="none"/>
        </w:rPr>
      </w:pPr>
    </w:p>
    <w:p w14:paraId="031CBFCB">
      <w:pPr>
        <w:rPr>
          <w:rFonts w:ascii="等线" w:hAnsi="等线" w:eastAsia="等线" w:cs="仿宋"/>
          <w:color w:val="auto"/>
          <w:highlight w:val="none"/>
        </w:rPr>
      </w:pPr>
    </w:p>
    <w:p w14:paraId="618F689B">
      <w:pPr>
        <w:pStyle w:val="6"/>
        <w:jc w:val="center"/>
        <w:rPr>
          <w:rFonts w:hint="eastAsia" w:ascii="等线" w:hAnsi="等线" w:eastAsia="等线" w:cs="仿宋"/>
          <w:b/>
          <w:color w:val="auto"/>
          <w:sz w:val="36"/>
          <w:szCs w:val="36"/>
          <w:highlight w:val="none"/>
        </w:rPr>
        <w:sectPr>
          <w:pgSz w:w="11906" w:h="16838"/>
          <w:pgMar w:top="1440" w:right="1800" w:bottom="1440" w:left="1800" w:header="851" w:footer="992" w:gutter="0"/>
          <w:pgNumType w:fmt="decimal"/>
          <w:cols w:space="425" w:num="1"/>
          <w:docGrid w:type="lines" w:linePitch="312" w:charSpace="0"/>
        </w:sectPr>
      </w:pPr>
      <w:r>
        <w:rPr>
          <w:rFonts w:hint="eastAsia" w:ascii="等线" w:hAnsi="等线" w:eastAsia="等线" w:cs="仿宋"/>
          <w:b/>
          <w:color w:val="auto"/>
          <w:sz w:val="36"/>
          <w:szCs w:val="36"/>
          <w:highlight w:val="none"/>
        </w:rPr>
        <w:t>（示范文本）</w:t>
      </w:r>
    </w:p>
    <w:p w14:paraId="5B313F48">
      <w:pPr>
        <w:numPr>
          <w:ilvl w:val="0"/>
          <w:numId w:val="1"/>
        </w:numPr>
        <w:spacing w:before="120" w:beforeLines="50" w:line="360" w:lineRule="auto"/>
        <w:jc w:val="center"/>
        <w:rPr>
          <w:rFonts w:ascii="宋体" w:hAnsi="宋体" w:cs="仿宋"/>
          <w:b/>
          <w:bCs/>
          <w:color w:val="auto"/>
          <w:sz w:val="36"/>
          <w:szCs w:val="36"/>
          <w:highlight w:val="none"/>
        </w:rPr>
      </w:pPr>
      <w:r>
        <w:rPr>
          <w:rFonts w:hint="eastAsia" w:ascii="等线" w:hAnsi="等线" w:eastAsia="等线" w:cs="仿宋"/>
          <w:b/>
          <w:bCs/>
          <w:color w:val="auto"/>
          <w:sz w:val="36"/>
          <w:szCs w:val="36"/>
          <w:highlight w:val="none"/>
        </w:rPr>
        <w:t xml:space="preserve"> </w:t>
      </w:r>
      <w:r>
        <w:rPr>
          <w:rFonts w:hint="eastAsia" w:ascii="宋体" w:hAnsi="宋体" w:cs="仿宋"/>
          <w:b/>
          <w:bCs/>
          <w:color w:val="auto"/>
          <w:sz w:val="36"/>
          <w:szCs w:val="36"/>
          <w:highlight w:val="none"/>
        </w:rPr>
        <w:t>协议书</w:t>
      </w:r>
    </w:p>
    <w:p w14:paraId="1A1B3230">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依据《中华人民共和国民法典》，遵循平等、自愿、公平和诚信原则，合同双方就</w:t>
      </w:r>
      <w:r>
        <w:rPr>
          <w:rFonts w:hint="eastAsia" w:ascii="宋体" w:hAnsi="宋体" w:cs="宋体"/>
          <w:bCs/>
          <w:color w:val="auto"/>
          <w:sz w:val="24"/>
          <w:szCs w:val="24"/>
          <w:highlight w:val="none"/>
          <w:u w:val="single"/>
        </w:rPr>
        <w:t xml:space="preserve">   （项目名称）</w:t>
      </w:r>
      <w:r>
        <w:rPr>
          <w:rFonts w:hint="eastAsia" w:ascii="宋体" w:hAnsi="宋体" w:cs="宋体"/>
          <w:color w:val="auto"/>
          <w:sz w:val="24"/>
          <w:szCs w:val="24"/>
          <w:highlight w:val="none"/>
        </w:rPr>
        <w:t>事宜经协商一致，订立本合同。</w:t>
      </w:r>
    </w:p>
    <w:p w14:paraId="2888DF7C">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一、合同双方</w:t>
      </w:r>
    </w:p>
    <w:p w14:paraId="553C2197">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u w:val="single"/>
        </w:rPr>
        <w:t>甲方：西安市莲湖区北关社区卫生服务中心</w:t>
      </w:r>
    </w:p>
    <w:p w14:paraId="39739C56">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乙方：                    </w:t>
      </w:r>
    </w:p>
    <w:p w14:paraId="18ACE6B5">
      <w:pPr>
        <w:pStyle w:val="3"/>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二、合同标的的内容、规格、数量</w:t>
      </w:r>
    </w:p>
    <w:tbl>
      <w:tblPr>
        <w:tblStyle w:val="4"/>
        <w:tblW w:w="9518" w:type="dxa"/>
        <w:tblInd w:w="10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7"/>
        <w:gridCol w:w="1301"/>
        <w:gridCol w:w="3364"/>
        <w:gridCol w:w="1500"/>
        <w:gridCol w:w="1400"/>
        <w:gridCol w:w="1226"/>
      </w:tblGrid>
      <w:tr w14:paraId="4C93C2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727" w:type="dxa"/>
            <w:noWrap w:val="0"/>
            <w:vAlign w:val="center"/>
          </w:tcPr>
          <w:p w14:paraId="0F90D41C">
            <w:pPr>
              <w:spacing w:line="360" w:lineRule="auto"/>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序号</w:t>
            </w:r>
          </w:p>
        </w:tc>
        <w:tc>
          <w:tcPr>
            <w:tcW w:w="1301" w:type="dxa"/>
            <w:noWrap w:val="0"/>
            <w:vAlign w:val="center"/>
          </w:tcPr>
          <w:p w14:paraId="6AE640F3">
            <w:pPr>
              <w:spacing w:line="360" w:lineRule="auto"/>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货物名称</w:t>
            </w:r>
          </w:p>
        </w:tc>
        <w:tc>
          <w:tcPr>
            <w:tcW w:w="3364" w:type="dxa"/>
            <w:noWrap w:val="0"/>
            <w:vAlign w:val="center"/>
          </w:tcPr>
          <w:p w14:paraId="03DD67ED">
            <w:pPr>
              <w:spacing w:line="360" w:lineRule="auto"/>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产品参数</w:t>
            </w:r>
          </w:p>
        </w:tc>
        <w:tc>
          <w:tcPr>
            <w:tcW w:w="1500" w:type="dxa"/>
            <w:noWrap w:val="0"/>
            <w:vAlign w:val="center"/>
          </w:tcPr>
          <w:p w14:paraId="4244DED4">
            <w:pPr>
              <w:spacing w:line="360" w:lineRule="auto"/>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数量</w:t>
            </w:r>
          </w:p>
        </w:tc>
        <w:tc>
          <w:tcPr>
            <w:tcW w:w="1400" w:type="dxa"/>
            <w:noWrap w:val="0"/>
            <w:vAlign w:val="center"/>
          </w:tcPr>
          <w:p w14:paraId="6601A94B">
            <w:pPr>
              <w:spacing w:line="360" w:lineRule="auto"/>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单价</w:t>
            </w:r>
          </w:p>
          <w:p w14:paraId="495368AE">
            <w:pPr>
              <w:spacing w:line="360" w:lineRule="auto"/>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（元）</w:t>
            </w:r>
          </w:p>
        </w:tc>
        <w:tc>
          <w:tcPr>
            <w:tcW w:w="1226" w:type="dxa"/>
            <w:noWrap w:val="0"/>
            <w:vAlign w:val="center"/>
          </w:tcPr>
          <w:p w14:paraId="1CC2548C">
            <w:pPr>
              <w:spacing w:line="360" w:lineRule="auto"/>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总价</w:t>
            </w:r>
          </w:p>
          <w:p w14:paraId="0C77222A">
            <w:pPr>
              <w:spacing w:line="360" w:lineRule="auto"/>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（元）</w:t>
            </w:r>
          </w:p>
        </w:tc>
      </w:tr>
      <w:tr w14:paraId="086E8C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81" w:hRule="atLeast"/>
        </w:trPr>
        <w:tc>
          <w:tcPr>
            <w:tcW w:w="727" w:type="dxa"/>
            <w:noWrap w:val="0"/>
            <w:vAlign w:val="center"/>
          </w:tcPr>
          <w:p w14:paraId="1F7C3C97">
            <w:pPr>
              <w:spacing w:line="360" w:lineRule="auto"/>
              <w:jc w:val="center"/>
              <w:rPr>
                <w:rFonts w:ascii="宋体" w:hAnsi="宋体" w:cs="宋体"/>
                <w:color w:val="auto"/>
                <w:sz w:val="24"/>
                <w:szCs w:val="24"/>
                <w:highlight w:val="none"/>
              </w:rPr>
            </w:pPr>
          </w:p>
        </w:tc>
        <w:tc>
          <w:tcPr>
            <w:tcW w:w="1301" w:type="dxa"/>
            <w:noWrap w:val="0"/>
            <w:vAlign w:val="center"/>
          </w:tcPr>
          <w:p w14:paraId="4E2B2D39">
            <w:pPr>
              <w:widowControl/>
              <w:spacing w:line="360" w:lineRule="auto"/>
              <w:jc w:val="center"/>
              <w:rPr>
                <w:rFonts w:ascii="宋体" w:hAnsi="宋体" w:cs="宋体"/>
                <w:color w:val="auto"/>
                <w:sz w:val="24"/>
                <w:szCs w:val="24"/>
                <w:highlight w:val="none"/>
              </w:rPr>
            </w:pPr>
          </w:p>
        </w:tc>
        <w:tc>
          <w:tcPr>
            <w:tcW w:w="3364" w:type="dxa"/>
            <w:noWrap w:val="0"/>
            <w:vAlign w:val="center"/>
          </w:tcPr>
          <w:p w14:paraId="5342C3F9">
            <w:pPr>
              <w:spacing w:line="360" w:lineRule="auto"/>
              <w:jc w:val="center"/>
              <w:rPr>
                <w:rFonts w:ascii="宋体" w:hAnsi="宋体" w:cs="宋体"/>
                <w:color w:val="auto"/>
                <w:sz w:val="24"/>
                <w:szCs w:val="24"/>
                <w:highlight w:val="none"/>
              </w:rPr>
            </w:pPr>
          </w:p>
        </w:tc>
        <w:tc>
          <w:tcPr>
            <w:tcW w:w="1500" w:type="dxa"/>
            <w:noWrap w:val="0"/>
            <w:vAlign w:val="center"/>
          </w:tcPr>
          <w:p w14:paraId="26C516CA">
            <w:pPr>
              <w:spacing w:line="360" w:lineRule="auto"/>
              <w:jc w:val="center"/>
              <w:rPr>
                <w:rFonts w:ascii="宋体" w:hAnsi="宋体" w:cs="宋体"/>
                <w:color w:val="auto"/>
                <w:sz w:val="24"/>
                <w:szCs w:val="24"/>
                <w:highlight w:val="none"/>
              </w:rPr>
            </w:pPr>
          </w:p>
        </w:tc>
        <w:tc>
          <w:tcPr>
            <w:tcW w:w="1400" w:type="dxa"/>
            <w:noWrap w:val="0"/>
            <w:vAlign w:val="center"/>
          </w:tcPr>
          <w:p w14:paraId="43D73012">
            <w:pPr>
              <w:spacing w:line="360" w:lineRule="auto"/>
              <w:jc w:val="center"/>
              <w:rPr>
                <w:rFonts w:ascii="宋体" w:hAnsi="宋体" w:cs="宋体"/>
                <w:color w:val="auto"/>
                <w:sz w:val="24"/>
                <w:szCs w:val="24"/>
                <w:highlight w:val="none"/>
              </w:rPr>
            </w:pPr>
          </w:p>
        </w:tc>
        <w:tc>
          <w:tcPr>
            <w:tcW w:w="1226" w:type="dxa"/>
            <w:noWrap w:val="0"/>
            <w:vAlign w:val="center"/>
          </w:tcPr>
          <w:p w14:paraId="7DF75F97">
            <w:pPr>
              <w:spacing w:line="360" w:lineRule="auto"/>
              <w:jc w:val="center"/>
              <w:rPr>
                <w:rFonts w:ascii="宋体" w:hAnsi="宋体" w:cs="宋体"/>
                <w:color w:val="auto"/>
                <w:sz w:val="24"/>
                <w:szCs w:val="24"/>
                <w:highlight w:val="none"/>
              </w:rPr>
            </w:pPr>
          </w:p>
        </w:tc>
      </w:tr>
    </w:tbl>
    <w:p w14:paraId="09E275AD">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三、合同价格</w:t>
      </w:r>
    </w:p>
    <w:p w14:paraId="64FBB87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3.1本合同项下总价款为人民币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元（小写，精确到小数点后两位），即</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（大写）。</w:t>
      </w:r>
    </w:p>
    <w:p w14:paraId="7E2F641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3.2本项目为</w:t>
      </w:r>
      <w:r>
        <w:rPr>
          <w:rFonts w:hint="eastAsia" w:ascii="宋体" w:hAnsi="宋体" w:cs="宋体"/>
          <w:b/>
          <w:bCs/>
          <w:color w:val="auto"/>
          <w:sz w:val="24"/>
          <w:szCs w:val="24"/>
          <w:highlight w:val="none"/>
          <w:u w:val="single"/>
        </w:rPr>
        <w:t>固定总价合同</w:t>
      </w:r>
      <w:r>
        <w:rPr>
          <w:rFonts w:hint="eastAsia" w:ascii="宋体" w:hAnsi="宋体" w:cs="宋体"/>
          <w:color w:val="auto"/>
          <w:sz w:val="24"/>
          <w:szCs w:val="24"/>
          <w:highlight w:val="none"/>
        </w:rPr>
        <w:t>。本合同总价包括货物设计、制造、包装、仓储、运输装卸、保修期内备品备件、伴随服务等所有含税费用、员工工资，以及供应商认为需要的其他一切费用。系固定不变价格，且不受市场价格变化因素的影响。</w:t>
      </w:r>
    </w:p>
    <w:p w14:paraId="30D5A249">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四、结算方式</w:t>
      </w:r>
    </w:p>
    <w:p w14:paraId="6CBFDB10">
      <w:pPr>
        <w:spacing w:line="360" w:lineRule="auto"/>
        <w:ind w:firstLine="480" w:firstLineChars="200"/>
        <w:rPr>
          <w:rFonts w:hint="eastAsia" w:ascii="宋体" w:hAnsi="宋体" w:eastAsia="宋体"/>
          <w:color w:val="auto"/>
          <w:sz w:val="24"/>
          <w:szCs w:val="24"/>
          <w:highlight w:val="none"/>
          <w:lang w:eastAsia="zh-CN"/>
        </w:rPr>
      </w:pPr>
      <w:r>
        <w:rPr>
          <w:rFonts w:hint="eastAsia" w:ascii="宋体" w:hAnsi="宋体" w:cs="宋体"/>
          <w:color w:val="auto"/>
          <w:sz w:val="24"/>
          <w:szCs w:val="24"/>
          <w:highlight w:val="none"/>
        </w:rPr>
        <w:t>4.1</w:t>
      </w:r>
      <w:r>
        <w:rPr>
          <w:rFonts w:hint="eastAsia" w:ascii="宋体" w:hAnsi="宋体" w:cs="宋体"/>
          <w:color w:val="auto"/>
          <w:sz w:val="24"/>
          <w:szCs w:val="24"/>
          <w:highlight w:val="none"/>
          <w:lang w:eastAsia="zh-CN"/>
        </w:rPr>
        <w:t>合同签订后</w:t>
      </w:r>
      <w:r>
        <w:rPr>
          <w:rFonts w:hint="eastAsia" w:ascii="宋体" w:hAnsi="宋体" w:cs="宋体"/>
          <w:color w:val="auto"/>
          <w:sz w:val="24"/>
          <w:szCs w:val="24"/>
          <w:highlight w:val="none"/>
          <w:lang w:val="en-US" w:eastAsia="zh-CN"/>
        </w:rPr>
        <w:t>30个日历日内，支付合同总价款的50%，</w:t>
      </w:r>
      <w:r>
        <w:rPr>
          <w:rFonts w:hint="eastAsia" w:ascii="宋体" w:hAnsi="宋体" w:cs="宋体"/>
          <w:color w:val="auto"/>
          <w:sz w:val="24"/>
          <w:szCs w:val="24"/>
          <w:highlight w:val="none"/>
        </w:rPr>
        <w:t>即人民币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元（小写，精确到小数点后两位），（大写：</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）；全部设备到达采购人指定地点并验收合格后，</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0个日历日内支付合同总价款的</w:t>
      </w:r>
      <w:r>
        <w:rPr>
          <w:rFonts w:hint="eastAsia" w:ascii="宋体" w:hAnsi="宋体" w:cs="宋体"/>
          <w:color w:val="auto"/>
          <w:sz w:val="24"/>
          <w:szCs w:val="24"/>
          <w:highlight w:val="none"/>
          <w:lang w:val="en-US" w:eastAsia="zh-CN"/>
        </w:rPr>
        <w:t>50%，</w:t>
      </w:r>
      <w:r>
        <w:rPr>
          <w:rFonts w:hint="eastAsia" w:ascii="宋体" w:hAnsi="宋体" w:cs="宋体"/>
          <w:color w:val="auto"/>
          <w:sz w:val="24"/>
          <w:szCs w:val="24"/>
          <w:highlight w:val="none"/>
        </w:rPr>
        <w:t>即人民币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元（小写，精确到小数点后两位），（大写：</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w:t>
      </w:r>
    </w:p>
    <w:p w14:paraId="64FFBF0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4.2付款前，乙方应向甲方开具符合财务、税务规定的等额增值税发票；</w:t>
      </w:r>
    </w:p>
    <w:p w14:paraId="4F20570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4.3支付方式：银行转账；</w:t>
      </w:r>
    </w:p>
    <w:p w14:paraId="3E0BCC2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4.4结算方式：验收合格后填写政府采购项目验收单（一式伍份），发票（按合同总价直开采购人），供应商持成交通知书、供货合同、正式发票、政府采购项目验收单，与采购人结算。</w:t>
      </w:r>
    </w:p>
    <w:p w14:paraId="21BD3D12">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五、供应商开户信息</w:t>
      </w:r>
    </w:p>
    <w:p w14:paraId="336ACCC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供应商名称：</w:t>
      </w:r>
      <w:r>
        <w:rPr>
          <w:rFonts w:hint="eastAsia" w:ascii="宋体" w:hAnsi="宋体" w:cs="宋体"/>
          <w:color w:val="auto"/>
          <w:sz w:val="24"/>
          <w:szCs w:val="24"/>
          <w:highlight w:val="none"/>
          <w:u w:val="single"/>
        </w:rPr>
        <w:t xml:space="preserve">                              </w:t>
      </w:r>
    </w:p>
    <w:p w14:paraId="4C882E18">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开户行名称：</w:t>
      </w:r>
      <w:r>
        <w:rPr>
          <w:rFonts w:hint="eastAsia" w:ascii="宋体" w:hAnsi="宋体" w:cs="宋体"/>
          <w:color w:val="auto"/>
          <w:sz w:val="24"/>
          <w:szCs w:val="24"/>
          <w:highlight w:val="none"/>
          <w:u w:val="single"/>
        </w:rPr>
        <w:t xml:space="preserve">                              </w:t>
      </w:r>
    </w:p>
    <w:p w14:paraId="28F82832">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账号：</w:t>
      </w:r>
      <w:r>
        <w:rPr>
          <w:rFonts w:hint="eastAsia" w:ascii="宋体" w:hAnsi="宋体" w:cs="宋体"/>
          <w:color w:val="auto"/>
          <w:sz w:val="24"/>
          <w:szCs w:val="24"/>
          <w:highlight w:val="none"/>
          <w:u w:val="single"/>
        </w:rPr>
        <w:t xml:space="preserve">                                    </w:t>
      </w:r>
    </w:p>
    <w:p w14:paraId="0F553940">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六、合同履行期限、地点和方式</w:t>
      </w:r>
    </w:p>
    <w:p w14:paraId="47E25D9D">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6.1交货期：自合同签订之日起45个日历日完成全部项目内容，并交付采购人验收合格。</w:t>
      </w:r>
    </w:p>
    <w:p w14:paraId="274A5F33">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6.2交货地点：</w:t>
      </w:r>
      <w:r>
        <w:rPr>
          <w:rFonts w:hint="eastAsia" w:ascii="宋体" w:hAnsi="宋体" w:cs="宋体"/>
          <w:color w:val="auto"/>
          <w:sz w:val="24"/>
          <w:szCs w:val="24"/>
          <w:highlight w:val="none"/>
          <w:u w:val="single"/>
        </w:rPr>
        <w:t>采购人指定交货地点。</w:t>
      </w:r>
    </w:p>
    <w:p w14:paraId="0AAC3B8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6.3乙方应自行选择适宜的包装方式、运输工具及线路安排合同货物运输。</w:t>
      </w:r>
    </w:p>
    <w:p w14:paraId="7A7C01F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（1）包装内应附有详细的装箱清单、出厂合格证明及其他相关资料。</w:t>
      </w:r>
    </w:p>
    <w:p w14:paraId="73E364B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（2）运输由成交供应商负责，运杂费已包含在合同总价内，包括从产品供应地点运送至交付地点所含的运输费、装卸费、仓储费、保险费等。</w:t>
      </w:r>
    </w:p>
    <w:p w14:paraId="7F48FFA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（3）运输方式由成交供应商自行选择，但必须保证按期交付，相关保险费用由乙方承担。</w:t>
      </w:r>
    </w:p>
    <w:p w14:paraId="4232C15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（4）产品及其备附件到达采购人指定地点后，成交供应商应按有关技术规程和采购人要求进行存放和保管。</w:t>
      </w:r>
    </w:p>
    <w:p w14:paraId="03220AD3">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七、合同当事人的权利和义务</w:t>
      </w:r>
    </w:p>
    <w:p w14:paraId="6037282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7.1甲方的权利和义务</w:t>
      </w:r>
    </w:p>
    <w:p w14:paraId="5D4DAEB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（1）甲方有权享有乙方按照上述约定提供的货物和服务。</w:t>
      </w:r>
    </w:p>
    <w:p w14:paraId="19E850F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（2）乙方未能按时交付合同货物时，甲方有权要求乙方赔偿违约金。</w:t>
      </w:r>
    </w:p>
    <w:p w14:paraId="331FFFF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（3）质保期内货物出现质量问题，接到甲方通知，乙方未能及时作出响应，则甲方有权自行或委托他人解决相关问题，乙方应承担由此发生的全部费用。</w:t>
      </w:r>
    </w:p>
    <w:p w14:paraId="278731E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（4）乙方货物交付时，甲方应提供必要的便利条件协助乙方完成交付，并及时组织相关人员对货物进行验收。</w:t>
      </w:r>
    </w:p>
    <w:p w14:paraId="3759E2A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（5）乙方按照合同完成履约后，甲方应按照合同约定及时支付合同价款。</w:t>
      </w:r>
    </w:p>
    <w:p w14:paraId="0A2AE85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7.2乙方的权利和义务</w:t>
      </w:r>
    </w:p>
    <w:p w14:paraId="32C8B61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（1）乙方有权要求甲方按照合同约定支付合同价款。</w:t>
      </w:r>
    </w:p>
    <w:p w14:paraId="696F652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（2）乙方应按照合同约定及时交付合同货物。</w:t>
      </w:r>
    </w:p>
    <w:p w14:paraId="29637FEC">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八、售后服务及培训</w:t>
      </w:r>
    </w:p>
    <w:p w14:paraId="749146EE">
      <w:pPr>
        <w:spacing w:line="360" w:lineRule="auto"/>
        <w:ind w:firstLine="482" w:firstLineChars="200"/>
        <w:rPr>
          <w:rFonts w:ascii="宋体" w:hAnsi="宋体" w:cs="宋体"/>
          <w:color w:val="auto"/>
          <w:sz w:val="24"/>
          <w:szCs w:val="24"/>
          <w:highlight w:val="none"/>
        </w:rPr>
      </w:pPr>
      <w:r>
        <w:rPr>
          <w:rFonts w:hint="eastAsia" w:ascii="宋体" w:hAnsi="宋体" w:cs="宋体"/>
          <w:b/>
          <w:bCs/>
          <w:color w:val="auto"/>
          <w:sz w:val="24"/>
          <w:szCs w:val="24"/>
          <w:highlight w:val="none"/>
        </w:rPr>
        <w:t>质量保证期：自采购人签发最终验收合格证书之日起</w:t>
      </w:r>
      <w:r>
        <w:rPr>
          <w:rFonts w:hint="eastAsia" w:ascii="宋体" w:hAnsi="宋体" w:cs="宋体"/>
          <w:b/>
          <w:bCs/>
          <w:color w:val="auto"/>
          <w:sz w:val="24"/>
          <w:szCs w:val="24"/>
          <w:highlight w:val="none"/>
          <w:u w:val="single"/>
        </w:rPr>
        <w:t xml:space="preserve"> </w:t>
      </w:r>
      <w:r>
        <w:rPr>
          <w:rFonts w:hint="eastAsia" w:ascii="宋体" w:hAnsi="宋体" w:cs="宋体"/>
          <w:b/>
          <w:bCs/>
          <w:color w:val="auto"/>
          <w:sz w:val="24"/>
          <w:szCs w:val="24"/>
          <w:highlight w:val="none"/>
          <w:u w:val="single"/>
          <w:lang w:eastAsia="zh-CN"/>
        </w:rPr>
        <w:t>一</w:t>
      </w:r>
      <w:r>
        <w:rPr>
          <w:rFonts w:hint="eastAsia" w:ascii="宋体" w:hAnsi="宋体" w:cs="宋体"/>
          <w:b/>
          <w:bCs/>
          <w:color w:val="auto"/>
          <w:sz w:val="24"/>
          <w:szCs w:val="24"/>
          <w:highlight w:val="none"/>
          <w:u w:val="single"/>
        </w:rPr>
        <w:t xml:space="preserve"> </w:t>
      </w:r>
      <w:r>
        <w:rPr>
          <w:rFonts w:hint="eastAsia" w:ascii="宋体" w:hAnsi="宋体" w:cs="宋体"/>
          <w:b/>
          <w:bCs/>
          <w:color w:val="auto"/>
          <w:sz w:val="24"/>
          <w:szCs w:val="24"/>
          <w:highlight w:val="none"/>
        </w:rPr>
        <w:t>年</w:t>
      </w:r>
      <w:r>
        <w:rPr>
          <w:rFonts w:hint="eastAsia" w:ascii="宋体" w:hAnsi="宋体" w:cs="宋体"/>
          <w:color w:val="auto"/>
          <w:sz w:val="24"/>
          <w:szCs w:val="24"/>
          <w:highlight w:val="none"/>
        </w:rPr>
        <w:t>，若该质量保证期小于国家标准，则以国家标准为准。产品终身维修，由乙方承担。</w:t>
      </w:r>
    </w:p>
    <w:p w14:paraId="3D5C696A">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九、质量保证</w:t>
      </w:r>
    </w:p>
    <w:p w14:paraId="012A1A3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9.1保证所供产品的设计、制造、产品性能、材料的选择和材料的检验及产品的测试等，均应按国内外通行的现行标准和相应的技术规范执行，这些标准和技术规范应为合同签订日为止最新公布发行的标准和技术规范。</w:t>
      </w:r>
    </w:p>
    <w:p w14:paraId="3111E54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9.2保证所供产品进货渠道正规，无假货、水货或翻新货，并能按期交付。</w:t>
      </w:r>
    </w:p>
    <w:p w14:paraId="32BF4AC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9.3保证所供产品在装卸、运输和仓储过程中有足够的包装保护，防止产品受潮、锈蚀、遭受冲撞及其他不可预见的损坏。</w:t>
      </w:r>
    </w:p>
    <w:p w14:paraId="6E40282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9.4成交供应商所供产品因侵权而产生的一切后果由成交供应商负责，采购人保留索赔权利。</w:t>
      </w:r>
    </w:p>
    <w:p w14:paraId="75CBB2A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9.5技术资料</w:t>
      </w:r>
    </w:p>
    <w:p w14:paraId="596026A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9.5.1产品合格证；</w:t>
      </w:r>
    </w:p>
    <w:p w14:paraId="0E218A7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9.5.2产品技术参数；</w:t>
      </w:r>
    </w:p>
    <w:p w14:paraId="24A6D7B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9.5.3产品使用维护说明书（中文）；</w:t>
      </w:r>
    </w:p>
    <w:p w14:paraId="21037A3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9.5.4其它资料。</w:t>
      </w:r>
    </w:p>
    <w:p w14:paraId="725B84F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9.6服务承诺</w:t>
      </w:r>
    </w:p>
    <w:p w14:paraId="70904A03">
      <w:pPr>
        <w:spacing w:line="360" w:lineRule="auto"/>
        <w:ind w:firstLine="480" w:firstLineChars="200"/>
        <w:rPr>
          <w:rFonts w:ascii="宋体" w:hAnsi="宋体" w:cs="宋体"/>
          <w:b/>
          <w:bCs/>
          <w:color w:val="auto"/>
          <w:sz w:val="24"/>
          <w:szCs w:val="24"/>
          <w:highlight w:val="none"/>
        </w:rPr>
      </w:pPr>
      <w:r>
        <w:rPr>
          <w:rFonts w:hint="eastAsia" w:ascii="宋体" w:hAnsi="宋体" w:cs="宋体"/>
          <w:color w:val="auto"/>
          <w:sz w:val="24"/>
          <w:szCs w:val="24"/>
          <w:highlight w:val="none"/>
        </w:rPr>
        <w:t>以响应文件、澄清表（函）、合同和随产品的相关文件为准。</w:t>
      </w:r>
    </w:p>
    <w:p w14:paraId="4D0AB60A">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十、违约责任及赔偿损失的计算办法</w:t>
      </w:r>
    </w:p>
    <w:p w14:paraId="4FD28FF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10.1按《中华人民共和国民法典》中的相关条款执行。</w:t>
      </w:r>
    </w:p>
    <w:p w14:paraId="50484C1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10.2供应商未按合同要求提供产品或产品质量不能满足合同要求的，采购人应当将供应商违约的情况以及拟采取的措施以书面形式报政府采购监管部门，根据政府采购监管部门的处理意见，采购人有权依据《民法典》有关条款及合同约定终止合同，并要求供应商承担合同价款30%的违约责任。同时，政府采购监管部门有权依据《政府采购法》及相关法律法规对供应商的违法行为进行相应的处罚。</w:t>
      </w:r>
    </w:p>
    <w:p w14:paraId="27D1D52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10.3供应商未按照合同要求逾期交货的，每日应按照合同总金额的1‰向采购人支付违约金。</w:t>
      </w:r>
    </w:p>
    <w:p w14:paraId="002DB6B7">
      <w:pPr>
        <w:spacing w:line="360" w:lineRule="auto"/>
        <w:ind w:firstLine="482" w:firstLineChars="200"/>
        <w:rPr>
          <w:rFonts w:ascii="宋体" w:hAnsi="宋体" w:cs="宋体"/>
          <w:color w:val="auto"/>
          <w:sz w:val="24"/>
          <w:szCs w:val="24"/>
          <w:highlight w:val="none"/>
        </w:rPr>
      </w:pPr>
      <w:r>
        <w:rPr>
          <w:rFonts w:hint="eastAsia" w:ascii="宋体" w:hAnsi="宋体" w:cs="宋体"/>
          <w:b/>
          <w:bCs/>
          <w:color w:val="auto"/>
          <w:sz w:val="24"/>
          <w:szCs w:val="24"/>
          <w:highlight w:val="none"/>
        </w:rPr>
        <w:t>十一、合同变更、解除及终止的条件</w:t>
      </w:r>
    </w:p>
    <w:p w14:paraId="3F95508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11.1本合同在执行过程中，如合同一方提出修改，须报政府采购管理部门同意后，由甲、乙双方签署书面修改协议，并成为本合同不可分割的一部分。除此之外，本合同的条件不得有任何变化或修改。</w:t>
      </w:r>
    </w:p>
    <w:p w14:paraId="7130646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11.2有下述情形之一，当事人可发出书面通知全部或部分地解除合同，合同自通知到达对方时全部或部分地解除：</w:t>
      </w:r>
    </w:p>
    <w:p w14:paraId="4D2879D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（1）乙方迟延交付合同货物超过</w:t>
      </w:r>
      <w:r>
        <w:rPr>
          <w:rFonts w:hint="eastAsia" w:ascii="宋体" w:hAnsi="宋体" w:cs="宋体"/>
          <w:b/>
          <w:bCs/>
          <w:color w:val="auto"/>
          <w:sz w:val="24"/>
          <w:szCs w:val="24"/>
          <w:highlight w:val="none"/>
          <w:u w:val="single"/>
        </w:rPr>
        <w:t>1个月</w:t>
      </w:r>
      <w:r>
        <w:rPr>
          <w:rFonts w:hint="eastAsia" w:ascii="宋体" w:hAnsi="宋体" w:cs="宋体"/>
          <w:color w:val="auto"/>
          <w:sz w:val="24"/>
          <w:szCs w:val="24"/>
          <w:highlight w:val="none"/>
        </w:rPr>
        <w:t>；</w:t>
      </w:r>
    </w:p>
    <w:p w14:paraId="1DF7449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合同货物由于乙方原因三次考核均未能达到技术性能考核指标或在合同约定了或双方在考核中另行达成了最低技术性能考核指标时均未能达到最低技术性能考核指标，且甲乙双方未就合同的后续履行协商达成一致；</w:t>
      </w:r>
    </w:p>
    <w:p w14:paraId="03F3D2A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w:t>
      </w:r>
      <w:r>
        <w:rPr>
          <w:rFonts w:ascii="宋体" w:hAnsi="宋体" w:cs="宋体"/>
          <w:color w:val="auto"/>
          <w:sz w:val="24"/>
          <w:szCs w:val="24"/>
          <w:highlight w:val="none"/>
        </w:rPr>
        <w:t>3</w:t>
      </w:r>
      <w:r>
        <w:rPr>
          <w:rFonts w:hint="eastAsia" w:ascii="宋体" w:hAnsi="宋体" w:cs="宋体"/>
          <w:color w:val="auto"/>
          <w:sz w:val="24"/>
          <w:szCs w:val="24"/>
          <w:highlight w:val="none"/>
        </w:rPr>
        <w:t>）合同一方当事人未能履行合同项下任何其它义务（细微义务除外），或在未事先征得另一方当事人同意的情况下，从事任何可能在实质上不利影响其履行合同能力的活动，经另一方当事人书面通知后</w:t>
      </w:r>
      <w:r>
        <w:rPr>
          <w:rFonts w:hint="eastAsia" w:ascii="宋体" w:hAnsi="宋体" w:cs="宋体"/>
          <w:b/>
          <w:bCs/>
          <w:color w:val="auto"/>
          <w:sz w:val="24"/>
          <w:szCs w:val="24"/>
          <w:highlight w:val="none"/>
          <w:u w:val="single"/>
        </w:rPr>
        <w:t xml:space="preserve"> 15 </w:t>
      </w:r>
      <w:r>
        <w:rPr>
          <w:rFonts w:hint="eastAsia" w:ascii="宋体" w:hAnsi="宋体" w:cs="宋体"/>
          <w:color w:val="auto"/>
          <w:sz w:val="24"/>
          <w:szCs w:val="24"/>
          <w:highlight w:val="none"/>
        </w:rPr>
        <w:t>日内未能对其行为作出补救；</w:t>
      </w:r>
    </w:p>
    <w:p w14:paraId="3153A0D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w:t>
      </w:r>
      <w:r>
        <w:rPr>
          <w:rFonts w:ascii="宋体" w:hAnsi="宋体" w:cs="宋体"/>
          <w:color w:val="auto"/>
          <w:sz w:val="24"/>
          <w:szCs w:val="24"/>
          <w:highlight w:val="none"/>
        </w:rPr>
        <w:t>4</w:t>
      </w:r>
      <w:r>
        <w:rPr>
          <w:rFonts w:hint="eastAsia" w:ascii="宋体" w:hAnsi="宋体" w:cs="宋体"/>
          <w:color w:val="auto"/>
          <w:sz w:val="24"/>
          <w:szCs w:val="24"/>
          <w:highlight w:val="none"/>
        </w:rPr>
        <w:t>）合同一方当事人出现破产、清算、资不抵债、成为失信被执行人等可能丧失履约能力的情形，且未能提供令对方满意的履约保证金。</w:t>
      </w:r>
    </w:p>
    <w:p w14:paraId="10990F7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11.3在乙方违约的情况下，甲方报告政府采购管理部门后，有权终止合同，并依法向乙方进行索赔实际损失(包括但不限于维权所支出的律师费、诉讼费、交通费等)。</w:t>
      </w:r>
    </w:p>
    <w:p w14:paraId="406F8BD8">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十二、验收方式</w:t>
      </w:r>
    </w:p>
    <w:p w14:paraId="58635E2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12.1经采购人确认后，组织成交供应商进行验收（必要时采购人可委托具有相关资质的第三方检测机构/技术专家对产品进行验收，需要国家法定检验部门进行检验或验收的由成交供应商负责联系）。验收合格后，填写政府采购项目验收单（一式伍份）作为对产品的最终认可。</w:t>
      </w:r>
    </w:p>
    <w:p w14:paraId="7724147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12.2验收依据</w:t>
      </w:r>
    </w:p>
    <w:p w14:paraId="7BB42BC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12.2.1</w:t>
      </w:r>
      <w:r>
        <w:rPr>
          <w:rFonts w:hint="eastAsia" w:ascii="宋体" w:hAnsi="宋体" w:cs="宋体"/>
          <w:color w:val="auto"/>
          <w:sz w:val="24"/>
          <w:szCs w:val="24"/>
          <w:highlight w:val="none"/>
          <w:lang w:eastAsia="zh-CN"/>
        </w:rPr>
        <w:t>谈判</w:t>
      </w:r>
      <w:r>
        <w:rPr>
          <w:rFonts w:hint="eastAsia" w:ascii="宋体" w:hAnsi="宋体" w:cs="宋体"/>
          <w:color w:val="auto"/>
          <w:sz w:val="24"/>
          <w:szCs w:val="24"/>
          <w:highlight w:val="none"/>
        </w:rPr>
        <w:t>文件、响应文件、澄清表（函）；</w:t>
      </w:r>
    </w:p>
    <w:p w14:paraId="58582C9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12.2.2本合同及附件文本；</w:t>
      </w:r>
    </w:p>
    <w:p w14:paraId="2392D3E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12.2.3合同签订时国家及行业现行的标准和技术规范。</w:t>
      </w:r>
    </w:p>
    <w:p w14:paraId="1E7DFAC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12.3成交供应商应向采购人提交项目实施过程中的所有资料，以便采购人日后管理和维护。</w:t>
      </w:r>
    </w:p>
    <w:p w14:paraId="7DA898C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12.4鉴定和验收费用，由乙方承担。</w:t>
      </w:r>
    </w:p>
    <w:p w14:paraId="13BFCB78">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十三、保密约定</w:t>
      </w:r>
    </w:p>
    <w:p w14:paraId="70427C6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13.1合同双方应对因履行合同而取得的另一方当事人的信息、资料等予以保密。未经另一方当事人书面同意，任何一方均不得为与履行合同无关的目的使用或向第三方披露另一方当事人提供的信息、资料。</w:t>
      </w:r>
    </w:p>
    <w:p w14:paraId="3E8E5AF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13.2合同当事人的保密义务不适用于下列信息：</w:t>
      </w:r>
    </w:p>
    <w:p w14:paraId="6896493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（1）非因接受信息一方的过失现在或以后进入公共领域的信息；</w:t>
      </w:r>
    </w:p>
    <w:p w14:paraId="4EDB247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（2）接受信息一方当事人合法地从第三方获得并且据其善意了解第三方也不对此承担保密义务的信息；</w:t>
      </w:r>
    </w:p>
    <w:p w14:paraId="7E2B136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（3）法律或法律的执行要求披露的信息。</w:t>
      </w:r>
    </w:p>
    <w:p w14:paraId="6295B09C">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十四、合同争议解决方式</w:t>
      </w:r>
    </w:p>
    <w:p w14:paraId="0E2AEEB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因执行本合同所发生的或与本合同有关的一切争议,双方应通过友好协商解决，协商不成的可依法向甲方所在地人民法院起诉。</w:t>
      </w:r>
    </w:p>
    <w:p w14:paraId="799548AB">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十五、不可抗力情况下的免责约定</w:t>
      </w:r>
    </w:p>
    <w:p w14:paraId="2BFACAB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 28 日内将有关当局或机构出具的证明文件提交给另一方当事人。</w:t>
      </w:r>
    </w:p>
    <w:p w14:paraId="3CF8526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15.2受不可抗力事件影响的一方当事人对于不可抗力事件导致的任何合同义务的迟延履行或不能履行不承担违约责任。但该方当事人应尽快将不可抗力事件结束或消除的情况通知另一方当事人。</w:t>
      </w:r>
    </w:p>
    <w:p w14:paraId="1FFEB9D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15.3双方当事人应在不可抗力事件结束或其影响消除后立即继续履行其合同义务，合同期限也应相应顺延。如果不可抗力事件的影响持续超过</w:t>
      </w:r>
      <w:r>
        <w:rPr>
          <w:rFonts w:hint="eastAsia" w:ascii="宋体" w:hAnsi="宋体" w:cs="宋体"/>
          <w:b/>
          <w:bCs/>
          <w:color w:val="auto"/>
          <w:sz w:val="24"/>
          <w:szCs w:val="24"/>
          <w:highlight w:val="none"/>
          <w:u w:val="single"/>
        </w:rPr>
        <w:t xml:space="preserve"> 90 </w:t>
      </w:r>
      <w:r>
        <w:rPr>
          <w:rFonts w:hint="eastAsia" w:ascii="宋体" w:hAnsi="宋体" w:cs="宋体"/>
          <w:color w:val="auto"/>
          <w:sz w:val="24"/>
          <w:szCs w:val="24"/>
          <w:highlight w:val="none"/>
        </w:rPr>
        <w:t>日，则任何一方当事人均有权以书面通知解除合同。</w:t>
      </w:r>
    </w:p>
    <w:p w14:paraId="0DBA5F47">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十六、生效条件、订立日期</w:t>
      </w:r>
    </w:p>
    <w:p w14:paraId="146B6F9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16.1本合同自签订之日起生效。</w:t>
      </w:r>
    </w:p>
    <w:p w14:paraId="148AFC8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16.2合同一式</w:t>
      </w:r>
      <w:r>
        <w:rPr>
          <w:rFonts w:hint="eastAsia" w:ascii="宋体" w:hAnsi="宋体" w:cs="宋体"/>
          <w:color w:val="auto"/>
          <w:sz w:val="24"/>
          <w:szCs w:val="24"/>
          <w:highlight w:val="none"/>
          <w:u w:val="single"/>
        </w:rPr>
        <w:t>6</w:t>
      </w:r>
      <w:r>
        <w:rPr>
          <w:rFonts w:hint="eastAsia" w:ascii="宋体" w:hAnsi="宋体" w:cs="宋体"/>
          <w:color w:val="auto"/>
          <w:sz w:val="24"/>
          <w:szCs w:val="24"/>
          <w:highlight w:val="none"/>
        </w:rPr>
        <w:t>份，采购人、成交供应商、集中采购机构各执</w:t>
      </w:r>
      <w:r>
        <w:rPr>
          <w:rFonts w:hint="eastAsia" w:ascii="宋体" w:hAnsi="宋体" w:cs="宋体"/>
          <w:color w:val="auto"/>
          <w:sz w:val="24"/>
          <w:szCs w:val="24"/>
          <w:highlight w:val="none"/>
          <w:u w:val="single"/>
        </w:rPr>
        <w:t>1</w:t>
      </w:r>
      <w:r>
        <w:rPr>
          <w:rFonts w:hint="eastAsia" w:ascii="宋体" w:hAnsi="宋体" w:cs="宋体"/>
          <w:color w:val="auto"/>
          <w:sz w:val="24"/>
          <w:szCs w:val="24"/>
          <w:highlight w:val="none"/>
        </w:rPr>
        <w:t>份；政府采购监管机构备案</w:t>
      </w:r>
      <w:r>
        <w:rPr>
          <w:rFonts w:hint="eastAsia" w:ascii="宋体" w:hAnsi="宋体" w:cs="宋体"/>
          <w:color w:val="auto"/>
          <w:sz w:val="24"/>
          <w:szCs w:val="24"/>
          <w:highlight w:val="none"/>
          <w:u w:val="single"/>
        </w:rPr>
        <w:t>1</w:t>
      </w:r>
      <w:r>
        <w:rPr>
          <w:rFonts w:hint="eastAsia" w:ascii="宋体" w:hAnsi="宋体" w:cs="宋体"/>
          <w:color w:val="auto"/>
          <w:sz w:val="24"/>
          <w:szCs w:val="24"/>
          <w:highlight w:val="none"/>
        </w:rPr>
        <w:t>份，成交供应商办理结算</w:t>
      </w:r>
      <w:r>
        <w:rPr>
          <w:rFonts w:hint="eastAsia" w:ascii="宋体" w:hAnsi="宋体" w:cs="宋体"/>
          <w:color w:val="auto"/>
          <w:sz w:val="24"/>
          <w:szCs w:val="24"/>
          <w:highlight w:val="none"/>
          <w:u w:val="single"/>
        </w:rPr>
        <w:t>2</w:t>
      </w:r>
      <w:r>
        <w:rPr>
          <w:rFonts w:hint="eastAsia" w:ascii="宋体" w:hAnsi="宋体" w:cs="宋体"/>
          <w:color w:val="auto"/>
          <w:sz w:val="24"/>
          <w:szCs w:val="24"/>
          <w:highlight w:val="none"/>
        </w:rPr>
        <w:t>份。</w:t>
      </w:r>
    </w:p>
    <w:p w14:paraId="6BEE9AD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16.3如本合同有未尽事宜，以</w:t>
      </w:r>
      <w:r>
        <w:rPr>
          <w:rFonts w:hint="eastAsia" w:ascii="宋体" w:hAnsi="宋体" w:cs="宋体"/>
          <w:color w:val="auto"/>
          <w:sz w:val="24"/>
          <w:szCs w:val="24"/>
          <w:highlight w:val="none"/>
          <w:lang w:eastAsia="zh-CN"/>
        </w:rPr>
        <w:t>谈判</w:t>
      </w:r>
      <w:r>
        <w:rPr>
          <w:rFonts w:hint="eastAsia" w:ascii="宋体" w:hAnsi="宋体" w:cs="宋体"/>
          <w:color w:val="auto"/>
          <w:sz w:val="24"/>
          <w:szCs w:val="24"/>
          <w:highlight w:val="none"/>
        </w:rPr>
        <w:t>文件为准，</w:t>
      </w:r>
      <w:r>
        <w:rPr>
          <w:rFonts w:hint="eastAsia" w:ascii="宋体" w:hAnsi="宋体" w:cs="宋体"/>
          <w:color w:val="auto"/>
          <w:sz w:val="24"/>
          <w:szCs w:val="24"/>
          <w:highlight w:val="none"/>
          <w:lang w:eastAsia="zh-CN"/>
        </w:rPr>
        <w:t>谈判</w:t>
      </w:r>
      <w:r>
        <w:rPr>
          <w:rFonts w:hint="eastAsia" w:ascii="宋体" w:hAnsi="宋体" w:cs="宋体"/>
          <w:color w:val="auto"/>
          <w:sz w:val="24"/>
          <w:szCs w:val="24"/>
          <w:highlight w:val="none"/>
        </w:rPr>
        <w:t>文件未做要求的，由双方依法订立补充合同。</w:t>
      </w:r>
    </w:p>
    <w:p w14:paraId="36E12257">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十七、其他事项</w:t>
      </w:r>
    </w:p>
    <w:p w14:paraId="4C352C9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合同其他事项双方另行协商补充：</w:t>
      </w:r>
      <w:r>
        <w:rPr>
          <w:rFonts w:hint="eastAsia" w:ascii="宋体" w:hAnsi="宋体" w:cs="宋体"/>
          <w:color w:val="auto"/>
          <w:sz w:val="24"/>
          <w:szCs w:val="24"/>
          <w:highlight w:val="none"/>
          <w:u w:val="single"/>
        </w:rPr>
        <w:t xml:space="preserve">                /                  </w:t>
      </w:r>
    </w:p>
    <w:p w14:paraId="4173AA87">
      <w:pPr>
        <w:pStyle w:val="2"/>
        <w:rPr>
          <w:rFonts w:hint="eastAsia" w:hAnsi="宋体" w:cs="Verdana"/>
          <w:b/>
          <w:color w:val="auto"/>
          <w:kern w:val="0"/>
          <w:sz w:val="24"/>
          <w:szCs w:val="24"/>
          <w:highlight w:val="none"/>
        </w:rPr>
      </w:pPr>
      <w:r>
        <w:rPr>
          <w:rFonts w:hint="eastAsia" w:hAnsi="宋体" w:cs="宋体"/>
          <w:color w:val="auto"/>
          <w:sz w:val="24"/>
          <w:szCs w:val="24"/>
          <w:highlight w:val="none"/>
        </w:rPr>
        <w:t>（此后无正文）</w:t>
      </w:r>
    </w:p>
    <w:p w14:paraId="04765C21">
      <w:pPr>
        <w:rPr>
          <w:rFonts w:hint="eastAsia" w:ascii="宋体" w:hAnsi="宋体" w:cs="宋体"/>
          <w:color w:val="auto"/>
          <w:sz w:val="24"/>
          <w:szCs w:val="24"/>
          <w:highlight w:val="none"/>
        </w:rPr>
      </w:pPr>
      <w:r>
        <w:rPr>
          <w:rFonts w:ascii="宋体" w:cs="宋体"/>
          <w:color w:val="auto"/>
          <w:szCs w:val="21"/>
          <w:highlight w:val="none"/>
        </w:rPr>
        <w:br w:type="page"/>
      </w:r>
      <w:r>
        <w:rPr>
          <w:rFonts w:hint="eastAsia" w:ascii="宋体" w:hAnsi="宋体" w:cs="宋体"/>
          <w:color w:val="auto"/>
          <w:sz w:val="24"/>
          <w:szCs w:val="24"/>
          <w:highlight w:val="none"/>
        </w:rPr>
        <w:t>签章页：</w:t>
      </w:r>
    </w:p>
    <w:tbl>
      <w:tblPr>
        <w:tblStyle w:val="4"/>
        <w:tblpPr w:leftFromText="181" w:rightFromText="181" w:vertAnchor="text" w:horzAnchor="page" w:tblpX="1507" w:tblpYSpec="top"/>
        <w:tblOverlap w:val="never"/>
        <w:tblW w:w="91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7"/>
        <w:gridCol w:w="4872"/>
      </w:tblGrid>
      <w:tr w14:paraId="71CB4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4307" w:type="dxa"/>
            <w:noWrap/>
            <w:vAlign w:val="top"/>
          </w:tcPr>
          <w:p w14:paraId="69386A81">
            <w:pPr>
              <w:overflowPunct w:val="0"/>
              <w:topLinePunct/>
              <w:spacing w:line="460" w:lineRule="exact"/>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甲  方</w:t>
            </w:r>
          </w:p>
        </w:tc>
        <w:tc>
          <w:tcPr>
            <w:tcW w:w="4872" w:type="dxa"/>
            <w:noWrap/>
            <w:vAlign w:val="top"/>
          </w:tcPr>
          <w:p w14:paraId="20536B14">
            <w:pPr>
              <w:overflowPunct w:val="0"/>
              <w:topLinePunct/>
              <w:spacing w:line="460" w:lineRule="exact"/>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乙  方</w:t>
            </w:r>
          </w:p>
        </w:tc>
      </w:tr>
      <w:tr w14:paraId="5B080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trPr>
        <w:tc>
          <w:tcPr>
            <w:tcW w:w="4307" w:type="dxa"/>
            <w:noWrap/>
            <w:vAlign w:val="center"/>
          </w:tcPr>
          <w:p w14:paraId="7B5A3F91">
            <w:pPr>
              <w:overflowPunct w:val="0"/>
              <w:topLinePunct/>
              <w:spacing w:line="4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采购人全称</w:t>
            </w:r>
          </w:p>
          <w:p w14:paraId="70647397">
            <w:pPr>
              <w:overflowPunct w:val="0"/>
              <w:topLinePunct/>
              <w:spacing w:line="460" w:lineRule="exact"/>
              <w:ind w:firstLine="480"/>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（公章）</w:t>
            </w:r>
          </w:p>
        </w:tc>
        <w:tc>
          <w:tcPr>
            <w:tcW w:w="4872" w:type="dxa"/>
            <w:noWrap/>
            <w:vAlign w:val="center"/>
          </w:tcPr>
          <w:p w14:paraId="6EC1844D">
            <w:pPr>
              <w:overflowPunct w:val="0"/>
              <w:topLinePunct/>
              <w:spacing w:line="4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中标人全称</w:t>
            </w:r>
          </w:p>
          <w:p w14:paraId="059521D3">
            <w:pPr>
              <w:overflowPunct w:val="0"/>
              <w:topLinePunct/>
              <w:spacing w:line="460" w:lineRule="exact"/>
              <w:ind w:firstLine="480"/>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（公章）</w:t>
            </w:r>
          </w:p>
        </w:tc>
      </w:tr>
      <w:tr w14:paraId="32214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4307" w:type="dxa"/>
            <w:noWrap/>
            <w:vAlign w:val="top"/>
          </w:tcPr>
          <w:p w14:paraId="1EB1FC2A">
            <w:pPr>
              <w:overflowPunct w:val="0"/>
              <w:topLinePunct/>
              <w:spacing w:line="4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地址： </w:t>
            </w:r>
          </w:p>
        </w:tc>
        <w:tc>
          <w:tcPr>
            <w:tcW w:w="4872" w:type="dxa"/>
            <w:noWrap/>
            <w:vAlign w:val="top"/>
          </w:tcPr>
          <w:p w14:paraId="6C0995DA">
            <w:pPr>
              <w:overflowPunct w:val="0"/>
              <w:topLinePunct/>
              <w:spacing w:line="4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p>
        </w:tc>
      </w:tr>
      <w:tr w14:paraId="47EC2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4307" w:type="dxa"/>
            <w:noWrap/>
            <w:vAlign w:val="top"/>
          </w:tcPr>
          <w:p w14:paraId="2D22FB26">
            <w:pPr>
              <w:overflowPunct w:val="0"/>
              <w:topLinePunct/>
              <w:spacing w:line="4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邮编：</w:t>
            </w:r>
          </w:p>
        </w:tc>
        <w:tc>
          <w:tcPr>
            <w:tcW w:w="4872" w:type="dxa"/>
            <w:noWrap/>
            <w:vAlign w:val="top"/>
          </w:tcPr>
          <w:p w14:paraId="5AE17D3A">
            <w:pPr>
              <w:overflowPunct w:val="0"/>
              <w:topLinePunct/>
              <w:spacing w:line="4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邮编：</w:t>
            </w:r>
          </w:p>
        </w:tc>
      </w:tr>
      <w:tr w14:paraId="10096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4307" w:type="dxa"/>
            <w:noWrap/>
            <w:vAlign w:val="top"/>
          </w:tcPr>
          <w:p w14:paraId="7E820B32">
            <w:pPr>
              <w:overflowPunct w:val="0"/>
              <w:topLinePunct/>
              <w:spacing w:line="4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负责人（签字）： </w:t>
            </w:r>
          </w:p>
        </w:tc>
        <w:tc>
          <w:tcPr>
            <w:tcW w:w="4872" w:type="dxa"/>
            <w:noWrap/>
            <w:vAlign w:val="top"/>
          </w:tcPr>
          <w:p w14:paraId="4F41CEEA">
            <w:pPr>
              <w:overflowPunct w:val="0"/>
              <w:topLinePunct/>
              <w:spacing w:line="4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法定代表人或被授权人</w:t>
            </w:r>
          </w:p>
          <w:p w14:paraId="14CD23F5">
            <w:pPr>
              <w:overflowPunct w:val="0"/>
              <w:topLinePunct/>
              <w:spacing w:line="4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（签字）：</w:t>
            </w:r>
          </w:p>
        </w:tc>
      </w:tr>
      <w:tr w14:paraId="7AB5C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4307" w:type="dxa"/>
            <w:noWrap/>
            <w:vAlign w:val="top"/>
          </w:tcPr>
          <w:p w14:paraId="4C52B170">
            <w:pPr>
              <w:overflowPunct w:val="0"/>
              <w:topLinePunct/>
              <w:spacing w:line="4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电话：</w:t>
            </w:r>
          </w:p>
        </w:tc>
        <w:tc>
          <w:tcPr>
            <w:tcW w:w="4872" w:type="dxa"/>
            <w:noWrap/>
            <w:vAlign w:val="top"/>
          </w:tcPr>
          <w:p w14:paraId="740122F3">
            <w:pPr>
              <w:overflowPunct w:val="0"/>
              <w:topLinePunct/>
              <w:spacing w:line="4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电话：</w:t>
            </w:r>
          </w:p>
        </w:tc>
      </w:tr>
      <w:tr w14:paraId="491C4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4307" w:type="dxa"/>
            <w:noWrap/>
            <w:vAlign w:val="top"/>
          </w:tcPr>
          <w:p w14:paraId="765B44EB">
            <w:pPr>
              <w:overflowPunct w:val="0"/>
              <w:topLinePunct/>
              <w:spacing w:line="4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传真：</w:t>
            </w:r>
          </w:p>
        </w:tc>
        <w:tc>
          <w:tcPr>
            <w:tcW w:w="4872" w:type="dxa"/>
            <w:noWrap/>
            <w:vAlign w:val="top"/>
          </w:tcPr>
          <w:p w14:paraId="43BBE4EF">
            <w:pPr>
              <w:overflowPunct w:val="0"/>
              <w:topLinePunct/>
              <w:spacing w:line="4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传真：</w:t>
            </w:r>
          </w:p>
        </w:tc>
      </w:tr>
      <w:tr w14:paraId="62DC1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4307" w:type="dxa"/>
            <w:noWrap/>
            <w:vAlign w:val="top"/>
          </w:tcPr>
          <w:p w14:paraId="74A62D36">
            <w:pPr>
              <w:overflowPunct w:val="0"/>
              <w:topLinePunct/>
              <w:spacing w:line="460" w:lineRule="exact"/>
              <w:rPr>
                <w:rFonts w:hint="eastAsia" w:ascii="宋体" w:hAnsi="宋体" w:cs="宋体"/>
                <w:color w:val="auto"/>
                <w:sz w:val="24"/>
                <w:szCs w:val="24"/>
                <w:highlight w:val="none"/>
              </w:rPr>
            </w:pPr>
          </w:p>
        </w:tc>
        <w:tc>
          <w:tcPr>
            <w:tcW w:w="4872" w:type="dxa"/>
            <w:noWrap/>
            <w:vAlign w:val="top"/>
          </w:tcPr>
          <w:p w14:paraId="1600D4D4">
            <w:pPr>
              <w:overflowPunct w:val="0"/>
              <w:topLinePunct/>
              <w:spacing w:line="4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开户银行：</w:t>
            </w:r>
          </w:p>
        </w:tc>
      </w:tr>
      <w:tr w14:paraId="31188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4307" w:type="dxa"/>
            <w:noWrap/>
            <w:vAlign w:val="top"/>
          </w:tcPr>
          <w:p w14:paraId="06A0F4A6">
            <w:pPr>
              <w:overflowPunct w:val="0"/>
              <w:topLinePunct/>
              <w:spacing w:line="460" w:lineRule="exact"/>
              <w:rPr>
                <w:rFonts w:hint="eastAsia" w:ascii="宋体" w:hAnsi="宋体" w:cs="宋体"/>
                <w:color w:val="auto"/>
                <w:sz w:val="24"/>
                <w:szCs w:val="24"/>
                <w:highlight w:val="none"/>
              </w:rPr>
            </w:pPr>
          </w:p>
        </w:tc>
        <w:tc>
          <w:tcPr>
            <w:tcW w:w="4872" w:type="dxa"/>
            <w:noWrap/>
            <w:vAlign w:val="top"/>
          </w:tcPr>
          <w:p w14:paraId="2BBE7DDA">
            <w:pPr>
              <w:overflowPunct w:val="0"/>
              <w:topLinePunct/>
              <w:spacing w:line="4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账号：</w:t>
            </w:r>
          </w:p>
        </w:tc>
      </w:tr>
      <w:tr w14:paraId="700D0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9179" w:type="dxa"/>
            <w:gridSpan w:val="2"/>
            <w:noWrap/>
            <w:vAlign w:val="center"/>
          </w:tcPr>
          <w:p w14:paraId="177DDC7C">
            <w:pPr>
              <w:overflowPunct w:val="0"/>
              <w:topLinePunct/>
              <w:spacing w:line="460" w:lineRule="exact"/>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年  月  日</w:t>
            </w:r>
          </w:p>
        </w:tc>
      </w:tr>
    </w:tbl>
    <w:p w14:paraId="394BD225">
      <w:pPr>
        <w:pStyle w:val="6"/>
        <w:jc w:val="center"/>
        <w:rPr>
          <w:rFonts w:hint="eastAsia" w:ascii="等线" w:hAnsi="等线" w:eastAsia="等线" w:cs="仿宋"/>
          <w:b/>
          <w:color w:val="auto"/>
          <w:sz w:val="36"/>
          <w:szCs w:val="36"/>
          <w:highlight w:val="none"/>
          <w:lang w:val="en-US" w:eastAsia="zh-Hans"/>
        </w:rPr>
      </w:pPr>
    </w:p>
    <w:p w14:paraId="71985A13">
      <w:bookmarkStart w:id="0" w:name="_GoBack"/>
      <w:bookmarkEnd w:id="0"/>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1A238E"/>
    <w:multiLevelType w:val="singleLevel"/>
    <w:tmpl w:val="101A238E"/>
    <w:lvl w:ilvl="0" w:tentative="0">
      <w:start w:val="1"/>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8522A3"/>
    <w:rsid w:val="42CC5F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szCs w:val="21"/>
    </w:rPr>
  </w:style>
  <w:style w:type="paragraph" w:styleId="3">
    <w:name w:val="toc 1"/>
    <w:basedOn w:val="1"/>
    <w:next w:val="1"/>
    <w:qFormat/>
    <w:uiPriority w:val="39"/>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李玉萍</cp:lastModifiedBy>
  <dcterms:modified xsi:type="dcterms:W3CDTF">2024-12-06T01:53:00Z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6B00D75D772C44ACA0D95B574A6EF09F</vt:lpwstr>
  </property>
</Properties>
</file>