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版本号：PLRH2025-GP-002S20250115001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402套安置房源修缮改造工程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PLRH2025-GP-002S</w:t>
      </w:r>
      <w:r>
        <w:br/>
      </w:r>
      <w:r>
        <w:br/>
      </w:r>
      <w:r>
        <w:br/>
      </w:r>
    </w:p>
    <w:p>
      <w:pPr>
        <w:pStyle w:val="null3"/>
        <w:jc w:val="center"/>
        <w:outlineLvl w:val="2"/>
      </w:pPr>
      <w:r>
        <w:rPr>
          <w:rFonts w:ascii="仿宋_GB2312" w:hAnsi="仿宋_GB2312" w:cs="仿宋_GB2312" w:eastAsia="仿宋_GB2312"/>
          <w:sz w:val="28"/>
          <w:b/>
        </w:rPr>
        <w:t>西安市莲湖区住房和城市建设局</w:t>
      </w:r>
    </w:p>
    <w:p>
      <w:pPr>
        <w:pStyle w:val="null3"/>
        <w:jc w:val="center"/>
        <w:outlineLvl w:val="2"/>
      </w:pPr>
      <w:r>
        <w:rPr>
          <w:rFonts w:ascii="仿宋_GB2312" w:hAnsi="仿宋_GB2312" w:cs="仿宋_GB2312" w:eastAsia="仿宋_GB2312"/>
          <w:sz w:val="28"/>
          <w:b/>
        </w:rPr>
        <w:t>鹏领睿恒（陕西）项目管理有限公司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2025年01月15日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鹏领睿恒（陕西）项目管理有限公司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西安市莲湖区住房和城市建设局</w:t>
      </w:r>
      <w:r>
        <w:rPr>
          <w:rFonts w:ascii="仿宋_GB2312" w:hAnsi="仿宋_GB2312" w:cs="仿宋_GB2312" w:eastAsia="仿宋_GB2312"/>
        </w:rPr>
        <w:t>委托，拟对</w:t>
      </w:r>
      <w:r>
        <w:rPr>
          <w:rFonts w:ascii="仿宋_GB2312" w:hAnsi="仿宋_GB2312" w:cs="仿宋_GB2312" w:eastAsia="仿宋_GB2312"/>
        </w:rPr>
        <w:t>402套安置房源修缮改造工程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PLRH2025-GP-002S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402套安置房源修缮改造工程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西安市莲湖区大兴裕苑、大兴家苑、雅逸新城小区，共计402套安置房源修缮改造工程。注意：未叙述详细部分详见图纸及工程量清单。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采购包1（402套安置房源修缮改造工程）：属于专门面向中小企业采购。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2023年度的经审计的财务会计报告（成立时间至提交磋商响应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3、税收缴纳证明：提供2024年至今已缴纳的至少一个月的纳税证明或完税证明（任意税种），依法免税的单位应提供相关证明材料；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4、社会保障资金缴纳证明：提供2024年至今已缴存的至少一个月的社会保障资金缴存单据或社保机构开具的社会保险参保缴费情况证明，依法不需要缴纳社会保障资金的单位应提供相关证明材料；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8、资质证书：供应商具备建筑工程施工总承包三级及以上资质或建筑装修装饰工程专业承包二级及以上资质，同时具有合格有效的安全生产许可证；</w:t>
      </w:r>
    </w:p>
    <w:p>
      <w:pPr>
        <w:pStyle w:val="null3"/>
      </w:pPr>
      <w:r>
        <w:rPr>
          <w:rFonts w:ascii="仿宋_GB2312" w:hAnsi="仿宋_GB2312" w:cs="仿宋_GB2312" w:eastAsia="仿宋_GB2312"/>
        </w:rPr>
        <w:t>9、项目经理：证书等级：二级及以上注册建造师 专业：建筑工程专业 补充说明：在本单位注册，具有有效的安全生产考核合格证，且未担任其他在建工程项目的项目经理（提供无在建承诺书）；拟派项目经理具备建筑工程专业二级及以上注册建造师执业资格且在本单位注册，具有有效的安全生产考核合格证，且未担任其他在建工程项目的项目经理（提供无在建承诺书）；</w:t>
      </w:r>
    </w:p>
    <w:p>
      <w:pPr>
        <w:pStyle w:val="null3"/>
      </w:pPr>
      <w:r>
        <w:rPr>
          <w:rFonts w:ascii="仿宋_GB2312" w:hAnsi="仿宋_GB2312" w:cs="仿宋_GB2312" w:eastAsia="仿宋_GB2312"/>
        </w:rPr>
        <w:t>10、外省企业要求：外省进陕施工企业须提供陕西省住房和城乡建设厅官网企业库外省进陕施工企业信息首页截图；</w:t>
      </w:r>
    </w:p>
    <w:p>
      <w:pPr>
        <w:pStyle w:val="null3"/>
      </w:pPr>
      <w:r>
        <w:rPr>
          <w:rFonts w:ascii="仿宋_GB2312" w:hAnsi="仿宋_GB2312" w:cs="仿宋_GB2312" w:eastAsia="仿宋_GB2312"/>
        </w:rPr>
        <w:t>11、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12、联合体：本项目不接受联合体磋商。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西安市莲湖区住房和城市建设局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西安市莲湖区红埠街59号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17691160036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鹏领睿恒（陕西）项目管理有限公司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西安市经济技术开发区元鼎路明丰伯马都A座1707室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029-65656686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2.支付方式：成交供应商应在领取通知书的同时，支付本项目代理服务费。收款账户如下：收款单位：鹏领睿恒(陕西)项目管理有限公司；开户银行：招商银行西安枫林绿洲支行； 银行账号：129911262210701。</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西安市莲湖区住房和城市建设局</w:t>
      </w:r>
      <w:r>
        <w:rPr>
          <w:rFonts w:ascii="仿宋_GB2312" w:hAnsi="仿宋_GB2312" w:cs="仿宋_GB2312" w:eastAsia="仿宋_GB2312"/>
        </w:rPr>
        <w:t>和</w:t>
      </w:r>
      <w:r>
        <w:rPr>
          <w:rFonts w:ascii="仿宋_GB2312" w:hAnsi="仿宋_GB2312" w:cs="仿宋_GB2312" w:eastAsia="仿宋_GB2312"/>
        </w:rPr>
        <w:t>鹏领睿恒（陕西）项目管理有限公司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西安市莲湖区住房和城市建设局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鹏领睿恒（陕西）项目管理有限公司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西安市莲湖区住房和城市建设局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鹏领睿恒（陕西）项目管理有限公司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履约验收标准：现行的国家标准或国家行政部门颁布的法律法规、规章制度等，是项目验收的另一个重要依据。没有国家标准的，可以参考行业标准。 GB50171-2012《电气装置安装工程盘柜及二次回路结线施工及验收规范》 GB50617-2010《电气装置安装工程电气照明装置施工及验收规范》 GB50300-2013《建筑工程施工质量验收统一标准》 GB50303-2015《建筑电气工程施工质量验收规范》 JGJ59-2019《建筑施工安全检查标准》 JGJ80-2016《建筑施工高处作业安全技术规程》 GB50194-2014《建筑工程施工现场安全用电规范》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联系电话：029-65656686</w:t>
      </w:r>
    </w:p>
    <w:p>
      <w:pPr>
        <w:pStyle w:val="null3"/>
      </w:pPr>
      <w:r>
        <w:rPr>
          <w:rFonts w:ascii="仿宋_GB2312" w:hAnsi="仿宋_GB2312" w:cs="仿宋_GB2312" w:eastAsia="仿宋_GB2312"/>
        </w:rPr>
        <w:t>地址：西安市经济技术开发区元鼎路明丰伯马都A座1707室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3,900,000.00</w:t>
      </w:r>
    </w:p>
    <w:p>
      <w:pPr>
        <w:pStyle w:val="null3"/>
      </w:pPr>
      <w:r>
        <w:rPr>
          <w:rFonts w:ascii="仿宋_GB2312" w:hAnsi="仿宋_GB2312" w:cs="仿宋_GB2312" w:eastAsia="仿宋_GB2312"/>
        </w:rPr>
        <w:t>采购包最高限价（元）: 3,652,344.58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3900000</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3,900,000.00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标的名称：3900000</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工程概况</w:t>
            </w:r>
          </w:p>
        </w:tc>
        <w:tc>
          <w:tcPr>
            <w:tcW w:type="dxa" w:w="2076"/>
          </w:tcPr>
          <w:p>
            <w:pPr>
              <w:pStyle w:val="null3"/>
              <w:jc w:val="both"/>
            </w:pPr>
            <w:r>
              <w:rPr>
                <w:rFonts w:ascii="仿宋_GB2312" w:hAnsi="仿宋_GB2312" w:cs="仿宋_GB2312" w:eastAsia="仿宋_GB2312"/>
              </w:rPr>
              <w:t>西安市莲湖区大兴裕苑、大兴家苑、雅逸新城小区，共计402套安置房源修缮改造工程。注意：未叙述详细部分详见图纸及工程量清单。</w:t>
            </w: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pPr>
              <w:pStyle w:val="null3"/>
            </w:pPr>
            <w:r>
              <w:rPr>
                <w:rFonts w:ascii="仿宋_GB2312" w:hAnsi="仿宋_GB2312" w:cs="仿宋_GB2312" w:eastAsia="仿宋_GB2312"/>
              </w:rPr>
              <w:t>工程内容</w:t>
            </w:r>
          </w:p>
        </w:tc>
        <w:tc>
          <w:tcPr>
            <w:tcW w:type="dxa" w:w="2076"/>
          </w:tcPr>
          <w:p>
            <w:pPr>
              <w:pStyle w:val="null3"/>
            </w:pPr>
            <w:r>
              <w:rPr>
                <w:rFonts w:ascii="仿宋_GB2312" w:hAnsi="仿宋_GB2312" w:cs="仿宋_GB2312" w:eastAsia="仿宋_GB2312"/>
              </w:rPr>
              <w:t>拆除及清运工程、装饰装修工程、门窗洁具更换工程、电气工程、给排水工程、楼顶屋面防水工程。</w:t>
            </w:r>
          </w:p>
          <w:p>
            <w:pPr>
              <w:pStyle w:val="null3"/>
            </w:pPr>
            <w:r>
              <w:rPr>
                <w:rFonts w:ascii="仿宋_GB2312" w:hAnsi="仿宋_GB2312" w:cs="仿宋_GB2312" w:eastAsia="仿宋_GB2312"/>
              </w:rPr>
              <w:t>注意：详见图纸及工程量清单。</w:t>
            </w:r>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3</w:t>
            </w:r>
          </w:p>
        </w:tc>
        <w:tc>
          <w:tcPr>
            <w:tcW w:type="dxa" w:w="2076"/>
          </w:tcPr>
          <w:p>
            <w:pPr>
              <w:pStyle w:val="null3"/>
            </w:pPr>
            <w:r>
              <w:rPr>
                <w:rFonts w:ascii="仿宋_GB2312" w:hAnsi="仿宋_GB2312" w:cs="仿宋_GB2312" w:eastAsia="仿宋_GB2312"/>
              </w:rPr>
              <w:t>技术要求</w:t>
            </w:r>
          </w:p>
        </w:tc>
        <w:tc>
          <w:tcPr>
            <w:tcW w:type="dxa" w:w="2076"/>
          </w:tcPr>
          <w:p>
            <w:pPr>
              <w:pStyle w:val="null3"/>
              <w:jc w:val="both"/>
            </w:pPr>
            <w:r>
              <w:rPr>
                <w:rFonts w:ascii="仿宋_GB2312" w:hAnsi="仿宋_GB2312" w:cs="仿宋_GB2312" w:eastAsia="仿宋_GB2312"/>
              </w:rPr>
              <w:t>1.施工地点：采购人指定地点。</w:t>
            </w:r>
          </w:p>
          <w:p>
            <w:pPr>
              <w:pStyle w:val="null3"/>
            </w:pPr>
            <w:r>
              <w:rPr>
                <w:rFonts w:ascii="仿宋_GB2312" w:hAnsi="仿宋_GB2312" w:cs="仿宋_GB2312" w:eastAsia="仿宋_GB2312"/>
              </w:rPr>
              <w:t>2.工期：自进场之日起30日历日内竣工。</w:t>
            </w:r>
          </w:p>
          <w:p>
            <w:pPr>
              <w:pStyle w:val="null3"/>
            </w:pPr>
            <w:r>
              <w:rPr>
                <w:rFonts w:ascii="仿宋_GB2312" w:hAnsi="仿宋_GB2312" w:cs="仿宋_GB2312" w:eastAsia="仿宋_GB2312"/>
              </w:rPr>
              <w:t>3.质量保修期：2年。</w:t>
            </w:r>
          </w:p>
          <w:p>
            <w:pPr>
              <w:pStyle w:val="null3"/>
            </w:pPr>
            <w:r>
              <w:rPr>
                <w:rFonts w:ascii="仿宋_GB2312" w:hAnsi="仿宋_GB2312" w:cs="仿宋_GB2312" w:eastAsia="仿宋_GB2312"/>
              </w:rPr>
              <w:t>4.本工程缺陷责任期：24个月</w:t>
            </w:r>
          </w:p>
          <w:p>
            <w:pPr>
              <w:pStyle w:val="null3"/>
            </w:pPr>
            <w:r>
              <w:rPr>
                <w:rFonts w:ascii="仿宋_GB2312" w:hAnsi="仿宋_GB2312" w:cs="仿宋_GB2312" w:eastAsia="仿宋_GB2312"/>
              </w:rPr>
              <w:t>5.质量标准：符合国家现行有关施工质量验收规范“合格”要求。</w:t>
            </w:r>
          </w:p>
        </w:tc>
      </w:tr>
      <w:tr>
        <w:tc>
          <w:tcPr>
            <w:tcW w:type="dxa" w:w="2076"/>
          </w:tcPr>
          <w:p/>
        </w:tc>
        <w:tc>
          <w:tcPr>
            <w:tcW w:type="dxa" w:w="2076"/>
          </w:tcPr>
          <w:p>
            <w:pPr>
              <w:pStyle w:val="null3"/>
            </w:pPr>
            <w:r>
              <w:rPr>
                <w:rFonts w:ascii="仿宋_GB2312" w:hAnsi="仿宋_GB2312" w:cs="仿宋_GB2312" w:eastAsia="仿宋_GB2312"/>
              </w:rPr>
              <w:t>4</w:t>
            </w:r>
          </w:p>
        </w:tc>
        <w:tc>
          <w:tcPr>
            <w:tcW w:type="dxa" w:w="2076"/>
          </w:tcPr>
          <w:p>
            <w:pPr>
              <w:pStyle w:val="null3"/>
            </w:pPr>
            <w:r>
              <w:rPr>
                <w:rFonts w:ascii="仿宋_GB2312" w:hAnsi="仿宋_GB2312" w:cs="仿宋_GB2312" w:eastAsia="仿宋_GB2312"/>
              </w:rPr>
              <w:t>编制说明</w:t>
            </w:r>
          </w:p>
        </w:tc>
        <w:tc>
          <w:tcPr>
            <w:tcW w:type="dxa" w:w="2076"/>
          </w:tcPr>
          <w:p>
            <w:pPr>
              <w:pStyle w:val="null3"/>
            </w:pPr>
            <w:r>
              <w:rPr>
                <w:rFonts w:ascii="仿宋_GB2312" w:hAnsi="仿宋_GB2312" w:cs="仿宋_GB2312" w:eastAsia="仿宋_GB2312"/>
              </w:rPr>
              <w:t>1.莲湖区新建国控站点内部环境治理工程施工图；</w:t>
            </w:r>
          </w:p>
          <w:p>
            <w:pPr>
              <w:pStyle w:val="null3"/>
            </w:pPr>
            <w:r>
              <w:rPr>
                <w:rFonts w:ascii="仿宋_GB2312" w:hAnsi="仿宋_GB2312" w:cs="仿宋_GB2312" w:eastAsia="仿宋_GB2312"/>
              </w:rPr>
              <w:t>2.《陕西省建设工程工程量清单计价规则》（2009 版）、《陕西省建设工程工程量清单计价费率》（2009 版）、《陕西省建筑工程、安装工程、装饰工程、古建筑工程、园林工程、市政工程、建筑施工工程消耗量定额》（陕西省价目表 2009）、陕建发〔2017〕270 号文、陕建发〔2018〕2019 号文、陕建发〔2019〕45 号文、陕建发〔2019〕1246 号、文扬尘污染专项治理费执行陕建发〔2017〕270 号文等及最新国家、省市相关文件规定编制。按《陕西省建筑工程、安装工程、装饰工程、古建筑工程、园林工程、市政工程、建筑施工工程消耗量定额》（陕西省价目表 2009）及省市最新相关文件。；</w:t>
            </w:r>
          </w:p>
          <w:p>
            <w:pPr>
              <w:pStyle w:val="null3"/>
            </w:pPr>
            <w:r>
              <w:rPr>
                <w:rFonts w:ascii="仿宋_GB2312" w:hAnsi="仿宋_GB2312" w:cs="仿宋_GB2312" w:eastAsia="仿宋_GB2312"/>
              </w:rPr>
              <w:t>4.本工程其他项目暂列金计入376136.42元。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项目采用广联达云计价平台GCCP6.0,版本：6.4100.23.121，在施工期间，成交供应商必须注意行人及小区内人员安全，加强安全措施，并对施工人员进行安全教育。施工人员必须持证上岗。因项目的特殊性，要求成交供应商在施工中做到封闭性施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1.本项目专门面向中小企业采购。2.本项目属性为工程。3.本项目合同包1采购标的所属行业为：建筑业；4.本项目是否属于信用担保试点范围：否。5.本项目为固定单价合同。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2024年至今已缴纳的至少一个月的纳税证明或完税证明（任意税种），依法免税的单位应提供相关证明材料；3.提供2024年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的经审计的财务会计报告（成立时间至提交谈判响应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的经审计的财务会计报告（成立时间至提交磋商响应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供应商具备建筑工程施工总承包三级及以上资质或建筑装修装饰工程专业承包二级及以上资质，同时具有合格有效的安全生产许可证；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证书等级：二级及以上注册建造师 专业：建筑工程专业 补充说明：在本单位注册，具有有效的安全生产考核合格证，且未担任其他在建工程项目的项目经理（提供无在建承诺书）；拟派项目经理具备建筑工程专业二级及以上注册建造师执业资格且在本单位注册，具有有效的安全生产考核合格证，且未担任其他在建工程项目的项目经理（提供无在建承诺书）；</w:t>
            </w:r>
          </w:p>
        </w:tc>
        <w:tc>
          <w:tcPr>
            <w:tcW w:type="dxa" w:w="1661"/>
          </w:tcPr>
          <w:p>
            <w:pPr>
              <w:pStyle w:val="null3"/>
            </w:pPr>
            <w:r>
              <w:rPr>
                <w:rFonts w:ascii="仿宋_GB2312" w:hAnsi="仿宋_GB2312" w:cs="仿宋_GB2312" w:eastAsia="仿宋_GB2312"/>
              </w:rPr>
              <w:t>项目管理机构组成表 资格证明文件.docx 主要人员简历表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外省企业要求</w:t>
            </w:r>
          </w:p>
        </w:tc>
        <w:tc>
          <w:tcPr>
            <w:tcW w:type="dxa" w:w="3322"/>
          </w:tcPr>
          <w:p>
            <w:pPr>
              <w:pStyle w:val="null3"/>
            </w:pPr>
            <w:r>
              <w:rPr>
                <w:rFonts w:ascii="仿宋_GB2312" w:hAnsi="仿宋_GB2312" w:cs="仿宋_GB2312" w:eastAsia="仿宋_GB2312"/>
              </w:rPr>
              <w:t>外省进陕施工企业须提供陕西省住房和城乡建设厅官网企业库外省进陕施工企业信息首页截图；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响应文件封面 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响应函 商务条款偏离表.docx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其它说明.docx 响应函 商务条款偏离表.docx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详细评审70.0000分</w:t>
            </w:r>
          </w:p>
          <w:p>
            <w:pPr>
              <w:pStyle w:val="null3"/>
            </w:pPr>
            <w:r>
              <w:rPr>
                <w:rFonts w:ascii="仿宋_GB2312" w:hAnsi="仿宋_GB2312" w:cs="仿宋_GB2312" w:eastAsia="仿宋_GB2312"/>
              </w:rPr>
              <w:t>报价得分30.0000分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施工组织部分1</w:t>
            </w:r>
          </w:p>
        </w:tc>
        <w:tc>
          <w:tcPr>
            <w:tcW w:type="dxa" w:w="2492"/>
          </w:tcPr>
          <w:p>
            <w:pPr>
              <w:pStyle w:val="null3"/>
            </w:pPr>
            <w:r>
              <w:rPr>
                <w:rFonts w:ascii="仿宋_GB2312" w:hAnsi="仿宋_GB2312" w:cs="仿宋_GB2312" w:eastAsia="仿宋_GB2312"/>
              </w:rPr>
              <w:t>供应商的项目经理部组成及劳动力投入配备合理，完全满足工作要求，根据响应情况7-10分； 供应商的项目经理部组成及劳动力投入配备较为合理，基本满足工作要求，根据响应情况得 4-7分（含7分）； 供应商的项目经理部组成及劳动力投入配备不合理、配置较差，未能完全满足工作要求,根据响应情况得0-4分（含4分）。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施工组织部分2</w:t>
            </w:r>
          </w:p>
        </w:tc>
        <w:tc>
          <w:tcPr>
            <w:tcW w:type="dxa" w:w="2492"/>
          </w:tcPr>
          <w:p>
            <w:pPr>
              <w:pStyle w:val="null3"/>
            </w:pPr>
            <w:r>
              <w:rPr>
                <w:rFonts w:ascii="仿宋_GB2312" w:hAnsi="仿宋_GB2312" w:cs="仿宋_GB2312" w:eastAsia="仿宋_GB2312"/>
              </w:rPr>
              <w:t>供应商有完善的安全、文明施工措施、环境保护措施及确保治污减霾和防尘污染的技术组织措施，措施编制完整合理、可操作性强，根据响应情况得7-10分； 供应商的安全、文明施工措施、环境保护措 施及确保治污减霾和防尘污染的技术组织措施基本合理、操作性一般，根据响应情况得4-7分（含7分）； 供应商提供的安全、文明施工措施、环境保护措施及确保治污减霾和防尘污染的技术组织措施不尽完善、操作性不强、不能完全满足工作要求，根据响应情况得 0-4分（含4分）。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施工组织部分3</w:t>
            </w:r>
          </w:p>
        </w:tc>
        <w:tc>
          <w:tcPr>
            <w:tcW w:type="dxa" w:w="2492"/>
          </w:tcPr>
          <w:p>
            <w:pPr>
              <w:pStyle w:val="null3"/>
            </w:pPr>
            <w:r>
              <w:rPr>
                <w:rFonts w:ascii="仿宋_GB2312" w:hAnsi="仿宋_GB2312" w:cs="仿宋_GB2312" w:eastAsia="仿宋_GB2312"/>
              </w:rPr>
              <w:t>供应商有完善的施工质量及施工进度保证措施、明确的项目职责与分工，能有效地保证服务质量，确保按时按量完成服务工作，根据响应情况得 7-10分； 供应商的施工质量及施工进度保证措施完善、程序措施较为规范合理，根据响应情况得4-7分（含7分）； 供应商的施工质量及施工进度保证措施不尽完善、不能完全满足工作要求，根据响应情况得0-4分（含4分）。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施工组织部分4</w:t>
            </w:r>
          </w:p>
        </w:tc>
        <w:tc>
          <w:tcPr>
            <w:tcW w:type="dxa" w:w="2492"/>
          </w:tcPr>
          <w:p>
            <w:pPr>
              <w:pStyle w:val="null3"/>
            </w:pPr>
            <w:r>
              <w:rPr>
                <w:rFonts w:ascii="仿宋_GB2312" w:hAnsi="仿宋_GB2312" w:cs="仿宋_GB2312" w:eastAsia="仿宋_GB2312"/>
              </w:rPr>
              <w:t>具有详细、实用、可行的突发事件处理预案措施，包括但不限于工伤事故、劳务纠纷； 突发事件应急预案，详细、实用、切实可行性强得7-10分； 突发事件应急预案，较详细、较实用、可行性较强得4-7分（含7分）； 突发事件应急预案，实用性一般，可行性较弱得0-4分（含4分）。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施工组织部分5</w:t>
            </w:r>
          </w:p>
        </w:tc>
        <w:tc>
          <w:tcPr>
            <w:tcW w:type="dxa" w:w="2492"/>
          </w:tcPr>
          <w:p>
            <w:pPr>
              <w:pStyle w:val="null3"/>
            </w:pPr>
            <w:r>
              <w:rPr>
                <w:rFonts w:ascii="仿宋_GB2312" w:hAnsi="仿宋_GB2312" w:cs="仿宋_GB2312" w:eastAsia="仿宋_GB2312"/>
              </w:rPr>
              <w:t>提供的项目施工方案详细、合理、全面，根据响应情况得 7-10分； 提供的项目施工方案较详细、基本合理，根据响应情况得 4-7分（含7分）； 提供的项目施工方案有缺陷或不尽合理，前后矛盾，根据响应情况得 0-4分（含4分）。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施工组织部分6</w:t>
            </w:r>
          </w:p>
        </w:tc>
        <w:tc>
          <w:tcPr>
            <w:tcW w:type="dxa" w:w="2492"/>
          </w:tcPr>
          <w:p>
            <w:pPr>
              <w:pStyle w:val="null3"/>
            </w:pPr>
            <w:r>
              <w:rPr>
                <w:rFonts w:ascii="仿宋_GB2312" w:hAnsi="仿宋_GB2312" w:cs="仿宋_GB2312" w:eastAsia="仿宋_GB2312"/>
              </w:rPr>
              <w:t>供应商所制定的主要材料供应计划及施工机械配备投入计划详细合理，可操作性强，机械工具配置齐全、情况良好。根据响应情况得3-5分； 供应商所制定的主要材料供应计划及施工机械配备投入计划叫详细合理，可操作性一般，基本满足工作要求，根据响应情况得0-3分（含3分）。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施工组织部分7</w:t>
            </w:r>
          </w:p>
        </w:tc>
        <w:tc>
          <w:tcPr>
            <w:tcW w:type="dxa" w:w="2492"/>
          </w:tcPr>
          <w:p>
            <w:pPr>
              <w:pStyle w:val="null3"/>
            </w:pPr>
            <w:r>
              <w:rPr>
                <w:rFonts w:ascii="仿宋_GB2312" w:hAnsi="仿宋_GB2312" w:cs="仿宋_GB2312" w:eastAsia="仿宋_GB2312"/>
              </w:rPr>
              <w:t>采用新材料、新设备、新技术、新工艺，得3-5分；未提供得0分。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根据供应商提供的服务承诺（包括但不限于工期、工程质量、安全方面）的情况自主赋分。 描述详尽、具体、可行性强得2-4分； 描述较详尽、较具体、可行性一般得0-2分（含2分）。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2021年01月01日至今类似项目业绩，每提供1份得2分，最高得6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详见附件：西安市莲湖区住房和城市建设局402套安置房源修缮改造工程施工合同.docx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