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28CFD">
      <w:pPr>
        <w:jc w:val="center"/>
        <w:rPr>
          <w:rFonts w:hint="eastAsia" w:ascii="仿宋" w:hAnsi="仿宋" w:eastAsia="仿宋" w:cs="仿宋"/>
          <w:b/>
          <w:bCs/>
          <w:sz w:val="48"/>
          <w:szCs w:val="52"/>
          <w:highlight w:val="none"/>
          <w:lang w:eastAsia="zh-CN"/>
        </w:rPr>
      </w:pPr>
    </w:p>
    <w:p w14:paraId="385BB7EC">
      <w:pPr>
        <w:jc w:val="center"/>
        <w:rPr>
          <w:rFonts w:hint="eastAsia" w:ascii="仿宋" w:hAnsi="仿宋" w:eastAsia="仿宋" w:cs="仿宋"/>
          <w:b/>
          <w:bCs/>
          <w:sz w:val="48"/>
          <w:szCs w:val="52"/>
          <w:highlight w:val="none"/>
          <w:lang w:eastAsia="zh-CN"/>
        </w:rPr>
      </w:pPr>
    </w:p>
    <w:p w14:paraId="74F89B0E">
      <w:pPr>
        <w:jc w:val="center"/>
        <w:rPr>
          <w:rFonts w:hint="eastAsia" w:ascii="仿宋" w:hAnsi="仿宋" w:eastAsia="仿宋" w:cs="仿宋"/>
          <w:b/>
          <w:bCs/>
          <w:sz w:val="48"/>
          <w:szCs w:val="52"/>
          <w:highlight w:val="none"/>
          <w:lang w:eastAsia="zh-CN"/>
        </w:rPr>
      </w:pPr>
    </w:p>
    <w:p w14:paraId="7307BBC9">
      <w:pPr>
        <w:jc w:val="center"/>
        <w:rPr>
          <w:rFonts w:hint="eastAsia" w:ascii="仿宋" w:hAnsi="仿宋" w:eastAsia="仿宋" w:cs="仿宋"/>
          <w:b/>
          <w:bCs/>
          <w:sz w:val="48"/>
          <w:szCs w:val="52"/>
          <w:highlight w:val="none"/>
          <w:lang w:eastAsia="zh-CN"/>
        </w:rPr>
      </w:pPr>
    </w:p>
    <w:p w14:paraId="05D10FD1">
      <w:pPr>
        <w:jc w:val="center"/>
        <w:rPr>
          <w:rFonts w:hint="eastAsia" w:ascii="仿宋" w:hAnsi="仿宋" w:eastAsia="仿宋" w:cs="仿宋"/>
          <w:b/>
          <w:bCs/>
          <w:sz w:val="48"/>
          <w:szCs w:val="52"/>
          <w:highlight w:val="none"/>
          <w:lang w:eastAsia="zh-CN"/>
        </w:rPr>
      </w:pPr>
    </w:p>
    <w:p w14:paraId="5C45329E">
      <w:pPr>
        <w:jc w:val="center"/>
        <w:rPr>
          <w:rFonts w:hint="eastAsia" w:ascii="仿宋" w:hAnsi="仿宋" w:eastAsia="仿宋" w:cs="仿宋"/>
          <w:b/>
          <w:bCs/>
          <w:sz w:val="48"/>
          <w:szCs w:val="52"/>
          <w:highlight w:val="none"/>
          <w:lang w:eastAsia="zh-CN"/>
        </w:rPr>
      </w:pPr>
    </w:p>
    <w:p w14:paraId="11550729">
      <w:pPr>
        <w:jc w:val="center"/>
        <w:rPr>
          <w:rFonts w:hint="eastAsia" w:ascii="仿宋" w:hAnsi="仿宋" w:eastAsia="仿宋" w:cs="仿宋"/>
          <w:b/>
          <w:bCs/>
          <w:sz w:val="48"/>
          <w:szCs w:val="52"/>
          <w:highlight w:val="none"/>
          <w:lang w:eastAsia="zh-CN"/>
        </w:rPr>
      </w:pPr>
      <w:bookmarkStart w:id="2" w:name="_GoBack"/>
      <w:bookmarkEnd w:id="2"/>
      <w:r>
        <w:rPr>
          <w:rFonts w:hint="eastAsia" w:ascii="仿宋" w:hAnsi="仿宋" w:eastAsia="仿宋" w:cs="仿宋"/>
          <w:b/>
          <w:bCs/>
          <w:sz w:val="48"/>
          <w:szCs w:val="52"/>
          <w:highlight w:val="none"/>
          <w:lang w:eastAsia="zh-CN"/>
        </w:rPr>
        <w:t>西安市莲湖区住房和城市建设局402套安置房源修缮改造工程</w:t>
      </w:r>
    </w:p>
    <w:p w14:paraId="7866CB20">
      <w:pPr>
        <w:jc w:val="center"/>
        <w:rPr>
          <w:rFonts w:hint="eastAsia" w:ascii="仿宋" w:hAnsi="仿宋" w:eastAsia="仿宋" w:cs="仿宋"/>
          <w:b/>
          <w:sz w:val="52"/>
          <w:szCs w:val="52"/>
          <w:highlight w:val="none"/>
        </w:rPr>
      </w:pPr>
      <w:r>
        <w:rPr>
          <w:rFonts w:hint="eastAsia" w:ascii="仿宋" w:hAnsi="仿宋" w:eastAsia="仿宋" w:cs="仿宋"/>
          <w:b/>
          <w:bCs/>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05F305D0">
      <w:pPr>
        <w:spacing w:before="156" w:beforeLines="50" w:line="360" w:lineRule="auto"/>
        <w:jc w:val="center"/>
        <w:rPr>
          <w:rFonts w:hint="eastAsia" w:ascii="仿宋" w:hAnsi="仿宋" w:eastAsia="仿宋" w:cs="仿宋"/>
          <w:b/>
          <w:bCs/>
          <w:sz w:val="36"/>
          <w:szCs w:val="36"/>
          <w:highlight w:val="none"/>
        </w:rPr>
      </w:pPr>
      <w:bookmarkStart w:id="0" w:name="_sec_729_2"/>
      <w:bookmarkStart w:id="1" w:name="_Toc368316276"/>
    </w:p>
    <w:p w14:paraId="745637CE">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30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738CF31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其中：安全文明施工费：人民币（大写）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A919F2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材料和工程设备暂估价金额：人民币（大写）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349CCB1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专业工程暂估价金额：人民币（大写）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38AB941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暂列金额：人民币（大写）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综合单</w:t>
      </w:r>
      <w:r>
        <w:rPr>
          <w:rFonts w:hint="eastAsia" w:ascii="仿宋" w:hAnsi="仿宋" w:eastAsia="仿宋" w:cs="仿宋"/>
          <w:sz w:val="24"/>
          <w:szCs w:val="24"/>
          <w:highlight w:val="none"/>
          <w:u w:val="single"/>
        </w:rPr>
        <w:t>价</w:t>
      </w:r>
      <w:r>
        <w:rPr>
          <w:rFonts w:hint="eastAsia" w:ascii="仿宋" w:hAnsi="仿宋" w:eastAsia="仿宋" w:cs="仿宋"/>
          <w:sz w:val="24"/>
          <w:szCs w:val="24"/>
          <w:highlight w:val="none"/>
        </w:rPr>
        <w:t>的方式确定，固定综合单价不作调整。综合单价包含的风险范围：</w:t>
      </w:r>
      <w:r>
        <w:rPr>
          <w:rFonts w:hint="eastAsia" w:ascii="仿宋" w:hAnsi="仿宋" w:eastAsia="仿宋" w:cs="仿宋"/>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1）合同签订后7个工作日内支付合同总价款40%作为预付款</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（2）工程竣工、验收合格后15个工作日内支付合同总价款的97%</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3）留审定总价款3%的质保金，在竣工验收合格一年后7个工作日内支付。</w:t>
      </w:r>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仲裁委员会申请仲裁；</w:t>
      </w:r>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西安市</w:t>
      </w:r>
      <w:r>
        <w:rPr>
          <w:rFonts w:hint="eastAsia" w:ascii="仿宋" w:hAnsi="仿宋" w:eastAsia="仿宋" w:cs="仿宋"/>
          <w:color w:val="000000"/>
          <w:sz w:val="24"/>
          <w:szCs w:val="24"/>
          <w:highlight w:val="none"/>
        </w:rPr>
        <w:t>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质量保修金的支付</w:t>
      </w:r>
    </w:p>
    <w:p w14:paraId="3A1B63DA">
      <w:pPr>
        <w:spacing w:line="360" w:lineRule="auto"/>
        <w:ind w:firstLine="482" w:firstLineChars="200"/>
        <w:jc w:val="left"/>
        <w:rPr>
          <w:rFonts w:hint="eastAsia" w:ascii="仿宋" w:hAnsi="仿宋" w:eastAsia="仿宋" w:cs="仿宋"/>
          <w:b/>
          <w:sz w:val="24"/>
          <w:szCs w:val="24"/>
          <w:highlight w:val="none"/>
          <w:u w:val="single"/>
        </w:rPr>
      </w:pPr>
      <w:r>
        <w:rPr>
          <w:rFonts w:hint="eastAsia" w:ascii="仿宋" w:hAnsi="仿宋" w:eastAsia="仿宋" w:cs="仿宋"/>
          <w:b/>
          <w:sz w:val="24"/>
          <w:szCs w:val="24"/>
          <w:highlight w:val="none"/>
          <w:u w:val="single"/>
        </w:rPr>
        <w:t>留审定总价款3%的质保金，在竣工验收合格一年后7个工作日内支付。</w:t>
      </w:r>
    </w:p>
    <w:p w14:paraId="2C39F543">
      <w:pPr>
        <w:numPr>
          <w:ilvl w:val="0"/>
          <w:numId w:val="1"/>
        </w:numPr>
        <w:spacing w:line="360" w:lineRule="auto"/>
        <w:ind w:left="360" w:hanging="36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质量保修金的返还</w:t>
      </w:r>
    </w:p>
    <w:p w14:paraId="4ED05FE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rPr>
        <w:t>六、其他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42D00422">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35EE8DF0">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66F61"/>
    <w:rsid w:val="56D66F61"/>
    <w:rsid w:val="63220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2025-01-15T03:40:00Z</dcterms:created>
  <dc:creator>苍白假面</dc:creator>
  <cp:lastModifiedBy>苍白假面</cp:lastModifiedBy>
  <dcterms:modified xsi:type="dcterms:W3CDTF">2025-01-15T03:41:11Z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52E5575446214956AE6E6FB55A4BDE03_11</vt:lpwstr>
  </property>
  <property fmtid="{D5CDD505-2E9C-101B-9397-08002B2CF9AE}" pid="4" name="KSOTemplateDocerSaveRecord">
    <vt:lpwstr>eyJoZGlkIjoiY2U1ZTlkNThkYmUxMjkwM2M5Y2E1YWM0NWQ1ZjUwMDUiLCJ1c2VySWQiOiIyNzI4NDY5MDUifQ==</vt:lpwstr>
  </property>
</Properties>
</file>