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300AC1">
      <w:pPr>
        <w:spacing w:line="360" w:lineRule="auto"/>
        <w:jc w:val="center"/>
        <w:rPr>
          <w:rFonts w:hint="eastAsia" w:cs="仿宋" w:asciiTheme="minorEastAsia" w:hAnsiTheme="minorEastAsia" w:eastAsiaTheme="minorEastAsia"/>
          <w:b/>
          <w:bCs/>
          <w:sz w:val="44"/>
          <w:szCs w:val="52"/>
          <w:lang w:eastAsia="zh-CN"/>
        </w:rPr>
      </w:pPr>
      <w:r>
        <w:rPr>
          <w:rFonts w:hint="eastAsia" w:cs="仿宋" w:asciiTheme="minorEastAsia" w:hAnsiTheme="minorEastAsia" w:eastAsiaTheme="minorEastAsia"/>
          <w:b/>
          <w:bCs/>
          <w:sz w:val="44"/>
          <w:szCs w:val="52"/>
          <w:lang w:eastAsia="zh-CN"/>
        </w:rPr>
        <w:t>31中学信息化项目采购</w:t>
      </w:r>
    </w:p>
    <w:p w14:paraId="1D9AA434">
      <w:pPr>
        <w:spacing w:line="360" w:lineRule="auto"/>
        <w:jc w:val="center"/>
        <w:rPr>
          <w:rFonts w:cs="仿宋" w:asciiTheme="minorEastAsia" w:hAnsiTheme="minorEastAsia" w:eastAsiaTheme="minorEastAsia"/>
          <w:b/>
          <w:bCs/>
          <w:sz w:val="44"/>
          <w:szCs w:val="52"/>
        </w:rPr>
      </w:pPr>
      <w:r>
        <w:rPr>
          <w:rFonts w:hint="eastAsia" w:cs="仿宋" w:asciiTheme="minorEastAsia" w:hAnsiTheme="minorEastAsia" w:eastAsiaTheme="minorEastAsia"/>
          <w:b/>
          <w:bCs/>
          <w:sz w:val="44"/>
          <w:szCs w:val="52"/>
          <w:lang w:eastAsia="zh-CN"/>
        </w:rPr>
        <w:t>采购</w:t>
      </w:r>
      <w:r>
        <w:rPr>
          <w:rFonts w:hint="eastAsia" w:cs="仿宋" w:asciiTheme="minorEastAsia" w:hAnsiTheme="minorEastAsia" w:eastAsiaTheme="minorEastAsia"/>
          <w:b/>
          <w:bCs/>
          <w:sz w:val="44"/>
          <w:szCs w:val="52"/>
        </w:rPr>
        <w:t>合同</w:t>
      </w:r>
    </w:p>
    <w:p w14:paraId="6B5BD524">
      <w:pPr>
        <w:rPr>
          <w:rFonts w:cs="仿宋" w:asciiTheme="minorEastAsia" w:hAnsiTheme="minorEastAsia" w:eastAsiaTheme="minorEastAsia"/>
        </w:rPr>
      </w:pPr>
    </w:p>
    <w:p w14:paraId="4D7032F8">
      <w:pPr>
        <w:rPr>
          <w:rFonts w:cs="仿宋" w:asciiTheme="minorEastAsia" w:hAnsiTheme="minorEastAsia" w:eastAsiaTheme="minorEastAsia"/>
        </w:rPr>
      </w:pPr>
    </w:p>
    <w:p w14:paraId="26F81BE1">
      <w:pPr>
        <w:rPr>
          <w:rFonts w:cs="仿宋" w:asciiTheme="minorEastAsia" w:hAnsiTheme="minorEastAsia" w:eastAsiaTheme="minorEastAsia"/>
        </w:rPr>
      </w:pPr>
    </w:p>
    <w:p w14:paraId="3BBBCE6A">
      <w:pPr>
        <w:rPr>
          <w:rFonts w:cs="仿宋" w:asciiTheme="minorEastAsia" w:hAnsiTheme="minorEastAsia" w:eastAsiaTheme="minorEastAsia"/>
        </w:rPr>
      </w:pPr>
    </w:p>
    <w:p w14:paraId="2A7A1B1D">
      <w:pPr>
        <w:rPr>
          <w:rFonts w:cs="仿宋" w:asciiTheme="minorEastAsia" w:hAnsiTheme="minorEastAsia" w:eastAsiaTheme="minorEastAsia"/>
        </w:rPr>
      </w:pPr>
    </w:p>
    <w:p w14:paraId="49F485BC">
      <w:pPr>
        <w:jc w:val="center"/>
        <w:rPr>
          <w:rFonts w:cs="仿宋" w:asciiTheme="minorEastAsia" w:hAnsiTheme="minorEastAsia" w:eastAsiaTheme="minorEastAsia"/>
          <w:b/>
          <w:sz w:val="36"/>
          <w:szCs w:val="36"/>
        </w:rPr>
      </w:pPr>
      <w:r>
        <w:rPr>
          <w:rFonts w:hint="eastAsia" w:cs="仿宋" w:asciiTheme="minorEastAsia" w:hAnsiTheme="minorEastAsia" w:eastAsiaTheme="minorEastAsia"/>
          <w:b/>
          <w:sz w:val="36"/>
          <w:szCs w:val="36"/>
        </w:rPr>
        <w:t>（示范文本）</w:t>
      </w:r>
    </w:p>
    <w:p w14:paraId="3F8EE153">
      <w:pPr>
        <w:spacing w:line="560" w:lineRule="exact"/>
        <w:rPr>
          <w:rFonts w:hint="eastAsia" w:ascii="宋体" w:hAnsi="宋体" w:eastAsia="宋体" w:cs="宋体"/>
          <w:b/>
          <w:bCs/>
          <w:sz w:val="32"/>
          <w:szCs w:val="32"/>
          <w:lang w:val="en-US" w:eastAsia="zh-CN"/>
        </w:rPr>
      </w:pPr>
    </w:p>
    <w:p w14:paraId="273555CA">
      <w:pPr>
        <w:spacing w:line="560" w:lineRule="exact"/>
        <w:rPr>
          <w:rFonts w:hint="eastAsia" w:ascii="宋体" w:hAnsi="宋体" w:eastAsia="宋体" w:cs="宋体"/>
          <w:b/>
          <w:bCs/>
          <w:sz w:val="32"/>
          <w:szCs w:val="32"/>
          <w:lang w:val="en-US" w:eastAsia="zh-CN"/>
        </w:rPr>
      </w:pPr>
    </w:p>
    <w:p w14:paraId="0510156D">
      <w:pPr>
        <w:spacing w:line="560" w:lineRule="exac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项目名称：</w:t>
      </w:r>
    </w:p>
    <w:p w14:paraId="5B5C8CB4">
      <w:pPr>
        <w:spacing w:line="560" w:lineRule="exact"/>
        <w:rPr>
          <w:rFonts w:hint="eastAsia" w:ascii="宋体" w:hAnsi="宋体" w:eastAsia="宋体" w:cs="宋体"/>
          <w:b/>
          <w:bCs/>
          <w:sz w:val="32"/>
          <w:szCs w:val="32"/>
          <w:lang w:val="en-US" w:eastAsia="zh-CN"/>
        </w:rPr>
      </w:pPr>
    </w:p>
    <w:p w14:paraId="7F9C457C">
      <w:pPr>
        <w:spacing w:line="560" w:lineRule="exact"/>
        <w:rPr>
          <w:rFonts w:hint="default" w:ascii="宋体" w:hAnsi="宋体" w:eastAsia="宋体" w:cs="宋体"/>
          <w:b/>
          <w:bCs/>
          <w:sz w:val="32"/>
          <w:szCs w:val="32"/>
          <w:u w:val="single"/>
          <w:lang w:val="en-US" w:eastAsia="zh-CN"/>
        </w:rPr>
      </w:pPr>
      <w:r>
        <w:rPr>
          <w:rFonts w:hint="eastAsia" w:ascii="宋体" w:hAnsi="宋体" w:eastAsia="宋体" w:cs="宋体"/>
          <w:b/>
          <w:bCs/>
          <w:sz w:val="32"/>
          <w:szCs w:val="32"/>
          <w:lang w:val="en-US" w:eastAsia="zh-CN"/>
        </w:rPr>
        <w:t>合同编号：</w:t>
      </w:r>
      <w:r>
        <w:rPr>
          <w:rFonts w:hint="eastAsia" w:ascii="宋体" w:hAnsi="宋体" w:eastAsia="宋体" w:cs="宋体"/>
          <w:b/>
          <w:bCs/>
          <w:sz w:val="32"/>
          <w:szCs w:val="32"/>
          <w:u w:val="single"/>
          <w:lang w:val="en-US" w:eastAsia="zh-CN"/>
        </w:rPr>
        <w:t xml:space="preserve">               </w:t>
      </w:r>
    </w:p>
    <w:p w14:paraId="626B5F83">
      <w:pPr>
        <w:pStyle w:val="2"/>
        <w:tabs>
          <w:tab w:val="center" w:pos="4153"/>
          <w:tab w:val="right" w:pos="8306"/>
        </w:tabs>
        <w:rPr>
          <w:rFonts w:hint="eastAsia" w:ascii="宋体" w:hAnsi="宋体" w:eastAsia="宋体" w:cs="宋体"/>
          <w:b/>
          <w:bCs/>
          <w:sz w:val="32"/>
          <w:szCs w:val="32"/>
        </w:rPr>
      </w:pPr>
    </w:p>
    <w:p w14:paraId="5F6932B6">
      <w:pPr>
        <w:pStyle w:val="2"/>
        <w:tabs>
          <w:tab w:val="center" w:pos="4153"/>
          <w:tab w:val="right" w:pos="8306"/>
        </w:tabs>
        <w:rPr>
          <w:rFonts w:hint="eastAsia" w:ascii="宋体" w:hAnsi="宋体" w:eastAsia="宋体" w:cs="宋体"/>
          <w:b/>
          <w:bCs/>
          <w:sz w:val="32"/>
          <w:szCs w:val="32"/>
        </w:rPr>
      </w:pPr>
    </w:p>
    <w:p w14:paraId="6E01C7C8">
      <w:pPr>
        <w:adjustRightInd w:val="0"/>
        <w:snapToGrid w:val="0"/>
        <w:spacing w:line="360" w:lineRule="auto"/>
        <w:ind w:firstLine="0" w:firstLineChars="0"/>
        <w:outlineLvl w:val="0"/>
        <w:rPr>
          <w:rFonts w:hint="eastAsia" w:ascii="宋体" w:hAnsi="宋体" w:eastAsia="宋体" w:cs="宋体"/>
          <w:b/>
          <w:bCs/>
          <w:kern w:val="0"/>
          <w:sz w:val="32"/>
          <w:szCs w:val="32"/>
          <w:u w:val="none"/>
          <w:lang w:val="en-US" w:eastAsia="zh-CN"/>
        </w:rPr>
      </w:pPr>
    </w:p>
    <w:p w14:paraId="43A731EC">
      <w:pPr>
        <w:pStyle w:val="2"/>
        <w:rPr>
          <w:rFonts w:hint="eastAsia" w:ascii="宋体" w:hAnsi="宋体" w:eastAsia="宋体" w:cs="宋体"/>
          <w:b/>
          <w:bCs/>
          <w:kern w:val="0"/>
          <w:sz w:val="32"/>
          <w:szCs w:val="32"/>
          <w:u w:val="none"/>
          <w:lang w:val="en-US" w:eastAsia="zh-CN"/>
        </w:rPr>
      </w:pPr>
    </w:p>
    <w:p w14:paraId="5C8DD234">
      <w:pPr>
        <w:pStyle w:val="2"/>
        <w:rPr>
          <w:rFonts w:hint="eastAsia" w:ascii="宋体" w:hAnsi="宋体" w:eastAsia="宋体" w:cs="宋体"/>
          <w:b/>
          <w:bCs/>
          <w:kern w:val="0"/>
          <w:sz w:val="32"/>
          <w:szCs w:val="32"/>
          <w:u w:val="none"/>
          <w:lang w:val="en-US" w:eastAsia="zh-CN"/>
        </w:rPr>
      </w:pPr>
    </w:p>
    <w:p w14:paraId="535BC135">
      <w:pPr>
        <w:pStyle w:val="2"/>
        <w:rPr>
          <w:rFonts w:hint="eastAsia" w:ascii="宋体" w:hAnsi="宋体" w:eastAsia="宋体" w:cs="宋体"/>
          <w:b/>
          <w:bCs/>
          <w:kern w:val="0"/>
          <w:sz w:val="32"/>
          <w:szCs w:val="32"/>
          <w:u w:val="none"/>
          <w:lang w:val="en-US" w:eastAsia="zh-CN"/>
        </w:rPr>
      </w:pPr>
    </w:p>
    <w:p w14:paraId="08711961">
      <w:pPr>
        <w:pStyle w:val="2"/>
        <w:rPr>
          <w:rFonts w:hint="eastAsia" w:ascii="宋体" w:hAnsi="宋体" w:eastAsia="宋体" w:cs="宋体"/>
          <w:b/>
          <w:bCs/>
          <w:kern w:val="0"/>
          <w:sz w:val="32"/>
          <w:szCs w:val="32"/>
          <w:u w:val="none"/>
          <w:lang w:val="en-US" w:eastAsia="zh-CN"/>
        </w:rPr>
      </w:pPr>
    </w:p>
    <w:p w14:paraId="703C6BA0">
      <w:pPr>
        <w:pStyle w:val="2"/>
        <w:rPr>
          <w:rFonts w:hint="eastAsia" w:ascii="宋体" w:hAnsi="宋体" w:eastAsia="宋体" w:cs="宋体"/>
          <w:b/>
          <w:bCs/>
          <w:kern w:val="0"/>
          <w:sz w:val="32"/>
          <w:szCs w:val="32"/>
          <w:u w:val="none"/>
          <w:lang w:val="en-US" w:eastAsia="zh-CN"/>
        </w:rPr>
      </w:pPr>
    </w:p>
    <w:p w14:paraId="4A46D8B0">
      <w:pPr>
        <w:pStyle w:val="2"/>
        <w:rPr>
          <w:rFonts w:hint="eastAsia" w:ascii="宋体" w:hAnsi="宋体" w:eastAsia="宋体" w:cs="宋体"/>
          <w:b/>
          <w:bCs/>
          <w:kern w:val="0"/>
          <w:sz w:val="32"/>
          <w:szCs w:val="32"/>
          <w:u w:val="none"/>
          <w:lang w:val="en-US" w:eastAsia="zh-CN"/>
        </w:rPr>
      </w:pPr>
    </w:p>
    <w:p w14:paraId="1B834FBC">
      <w:pPr>
        <w:pStyle w:val="2"/>
        <w:rPr>
          <w:rFonts w:hint="eastAsia" w:ascii="宋体" w:hAnsi="宋体" w:eastAsia="宋体" w:cs="宋体"/>
          <w:b/>
          <w:bCs/>
          <w:kern w:val="0"/>
          <w:sz w:val="32"/>
          <w:szCs w:val="32"/>
          <w:u w:val="none"/>
          <w:lang w:val="en-US" w:eastAsia="zh-CN"/>
        </w:rPr>
      </w:pPr>
    </w:p>
    <w:p w14:paraId="4D97DC0D">
      <w:pPr>
        <w:adjustRightInd w:val="0"/>
        <w:snapToGrid w:val="0"/>
        <w:spacing w:line="360" w:lineRule="auto"/>
        <w:ind w:firstLine="0" w:firstLineChars="0"/>
        <w:outlineLvl w:val="0"/>
        <w:rPr>
          <w:rFonts w:hint="eastAsia" w:ascii="宋体" w:hAnsi="宋体" w:eastAsia="宋体" w:cs="宋体"/>
          <w:b/>
          <w:bCs/>
          <w:kern w:val="0"/>
          <w:sz w:val="32"/>
          <w:szCs w:val="32"/>
          <w:u w:val="none"/>
          <w:lang w:val="en-US" w:eastAsia="zh-CN"/>
        </w:rPr>
      </w:pPr>
    </w:p>
    <w:p w14:paraId="0CEC19D2">
      <w:pPr>
        <w:pStyle w:val="6"/>
        <w:rPr>
          <w:rFonts w:hint="eastAsia" w:asciiTheme="minorEastAsia" w:hAnsiTheme="minorEastAsia" w:eastAsiaTheme="minorEastAsia" w:cstheme="minorEastAsia"/>
          <w:sz w:val="24"/>
          <w:szCs w:val="24"/>
        </w:rPr>
        <w:sectPr>
          <w:pgSz w:w="11906" w:h="16838"/>
          <w:pgMar w:top="1440" w:right="1080" w:bottom="1440" w:left="1080" w:header="851" w:footer="992" w:gutter="0"/>
          <w:cols w:space="425" w:num="1"/>
          <w:docGrid w:type="lines" w:linePitch="312" w:charSpace="0"/>
        </w:sectPr>
      </w:pPr>
      <w:r>
        <w:rPr>
          <w:rFonts w:hint="eastAsia" w:ascii="宋体" w:hAnsi="宋体" w:eastAsia="宋体" w:cs="宋体"/>
          <w:b/>
          <w:bCs/>
          <w:kern w:val="0"/>
          <w:sz w:val="32"/>
          <w:szCs w:val="32"/>
          <w:u w:val="none"/>
          <w:lang w:val="en-US" w:eastAsia="zh-CN"/>
        </w:rPr>
        <w:t xml:space="preserve">签订日期：  </w:t>
      </w:r>
      <w:r>
        <w:rPr>
          <w:rFonts w:hint="eastAsia" w:ascii="宋体" w:hAnsi="宋体" w:eastAsia="宋体" w:cs="宋体"/>
          <w:b/>
          <w:bCs/>
          <w:kern w:val="0"/>
          <w:sz w:val="32"/>
          <w:szCs w:val="32"/>
          <w:u w:val="single"/>
          <w:lang w:val="en-US" w:eastAsia="zh-CN"/>
        </w:rPr>
        <w:t xml:space="preserve"> </w:t>
      </w:r>
      <w:r>
        <w:rPr>
          <w:rFonts w:hint="eastAsia" w:ascii="宋体" w:hAnsi="宋体" w:cs="宋体"/>
          <w:b/>
          <w:bCs/>
          <w:kern w:val="0"/>
          <w:sz w:val="32"/>
          <w:szCs w:val="32"/>
          <w:u w:val="single"/>
          <w:lang w:val="en-US" w:eastAsia="zh-CN"/>
        </w:rPr>
        <w:t xml:space="preserve">     </w:t>
      </w:r>
      <w:r>
        <w:rPr>
          <w:rFonts w:hint="eastAsia" w:ascii="宋体" w:hAnsi="宋体" w:eastAsia="宋体" w:cs="宋体"/>
          <w:b/>
          <w:bCs/>
          <w:kern w:val="0"/>
          <w:sz w:val="32"/>
          <w:szCs w:val="32"/>
          <w:u w:val="none"/>
          <w:lang w:val="en-US" w:eastAsia="zh-CN"/>
        </w:rPr>
        <w:t xml:space="preserve"> 年 </w:t>
      </w:r>
      <w:r>
        <w:rPr>
          <w:rFonts w:hint="eastAsia" w:ascii="宋体" w:hAnsi="宋体" w:cs="宋体"/>
          <w:b/>
          <w:bCs/>
          <w:kern w:val="0"/>
          <w:sz w:val="32"/>
          <w:szCs w:val="32"/>
          <w:u w:val="single"/>
          <w:lang w:val="en-US" w:eastAsia="zh-CN"/>
        </w:rPr>
        <w:t xml:space="preserve">  </w:t>
      </w:r>
      <w:r>
        <w:rPr>
          <w:rFonts w:hint="eastAsia" w:ascii="宋体" w:hAnsi="宋体" w:eastAsia="宋体" w:cs="宋体"/>
          <w:b/>
          <w:bCs/>
          <w:kern w:val="0"/>
          <w:sz w:val="32"/>
          <w:szCs w:val="32"/>
          <w:u w:val="single"/>
          <w:lang w:val="en-US" w:eastAsia="zh-CN"/>
        </w:rPr>
        <w:t xml:space="preserve">   </w:t>
      </w:r>
      <w:r>
        <w:rPr>
          <w:rFonts w:hint="eastAsia" w:ascii="宋体" w:hAnsi="宋体" w:eastAsia="宋体" w:cs="宋体"/>
          <w:b/>
          <w:bCs/>
          <w:kern w:val="0"/>
          <w:sz w:val="32"/>
          <w:szCs w:val="32"/>
          <w:u w:val="none"/>
          <w:lang w:val="en-US" w:eastAsia="zh-CN"/>
        </w:rPr>
        <w:t xml:space="preserve">月 </w:t>
      </w:r>
      <w:r>
        <w:rPr>
          <w:rFonts w:hint="eastAsia" w:ascii="宋体" w:hAnsi="宋体" w:eastAsia="宋体" w:cs="宋体"/>
          <w:b/>
          <w:bCs/>
          <w:kern w:val="0"/>
          <w:sz w:val="32"/>
          <w:szCs w:val="32"/>
          <w:u w:val="single"/>
          <w:lang w:val="en-US" w:eastAsia="zh-CN"/>
        </w:rPr>
        <w:t xml:space="preserve"> </w:t>
      </w:r>
      <w:r>
        <w:rPr>
          <w:rFonts w:hint="eastAsia" w:ascii="宋体" w:hAnsi="宋体" w:cs="宋体"/>
          <w:b/>
          <w:bCs/>
          <w:kern w:val="0"/>
          <w:sz w:val="32"/>
          <w:szCs w:val="32"/>
          <w:u w:val="single"/>
          <w:lang w:val="en-US" w:eastAsia="zh-CN"/>
        </w:rPr>
        <w:t xml:space="preserve">    </w:t>
      </w:r>
      <w:r>
        <w:rPr>
          <w:rFonts w:hint="eastAsia" w:ascii="宋体" w:hAnsi="宋体" w:eastAsia="宋体" w:cs="宋体"/>
          <w:b/>
          <w:bCs/>
          <w:kern w:val="0"/>
          <w:sz w:val="32"/>
          <w:szCs w:val="32"/>
          <w:u w:val="none"/>
          <w:lang w:val="en-US" w:eastAsia="zh-CN"/>
        </w:rPr>
        <w:t xml:space="preserve"> 日</w:t>
      </w:r>
    </w:p>
    <w:p w14:paraId="4128CA8D">
      <w:pPr>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依据《中华人民共和国民法典》，遵循平等、自愿、公平和诚信原则，合同双方就</w:t>
      </w:r>
      <w:r>
        <w:rPr>
          <w:rFonts w:hint="eastAsia" w:ascii="宋体" w:hAnsi="宋体" w:eastAsia="宋体" w:cs="宋体"/>
          <w:bCs/>
          <w:color w:val="auto"/>
          <w:sz w:val="24"/>
          <w:szCs w:val="24"/>
          <w:u w:val="single"/>
        </w:rPr>
        <w:t xml:space="preserve">   （项目名称）</w:t>
      </w:r>
      <w:r>
        <w:rPr>
          <w:rFonts w:hint="eastAsia" w:ascii="宋体" w:hAnsi="宋体" w:eastAsia="宋体" w:cs="宋体"/>
          <w:color w:val="auto"/>
          <w:sz w:val="24"/>
          <w:szCs w:val="24"/>
        </w:rPr>
        <w:t>事宜经协商一致，订立本合同。</w:t>
      </w:r>
    </w:p>
    <w:p w14:paraId="4FF995AB">
      <w:pPr>
        <w:spacing w:line="360" w:lineRule="auto"/>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一、合同双方</w:t>
      </w:r>
    </w:p>
    <w:p w14:paraId="3CB72FDE">
      <w:pPr>
        <w:spacing w:line="360" w:lineRule="auto"/>
        <w:ind w:firstLine="480" w:firstLineChars="200"/>
        <w:rPr>
          <w:rFonts w:hint="eastAsia" w:ascii="宋体" w:hAnsi="宋体" w:eastAsia="宋体" w:cs="宋体"/>
          <w:color w:val="auto"/>
          <w:sz w:val="24"/>
          <w:szCs w:val="24"/>
          <w:u w:val="single"/>
          <w:lang w:eastAsia="zh-CN"/>
        </w:rPr>
      </w:pPr>
      <w:r>
        <w:rPr>
          <w:rFonts w:hint="eastAsia" w:ascii="宋体" w:hAnsi="宋体" w:eastAsia="宋体" w:cs="宋体"/>
          <w:color w:val="auto"/>
          <w:sz w:val="24"/>
          <w:szCs w:val="24"/>
          <w:u w:val="single"/>
        </w:rPr>
        <w:t>甲方：西安市</w:t>
      </w:r>
      <w:r>
        <w:rPr>
          <w:rFonts w:hint="eastAsia" w:ascii="宋体" w:hAnsi="宋体" w:eastAsia="宋体" w:cs="宋体"/>
          <w:color w:val="auto"/>
          <w:sz w:val="24"/>
          <w:szCs w:val="24"/>
          <w:u w:val="single"/>
          <w:lang w:eastAsia="zh-CN"/>
        </w:rPr>
        <w:t>第三十一中学</w:t>
      </w:r>
    </w:p>
    <w:p w14:paraId="122138B7">
      <w:pPr>
        <w:spacing w:line="360" w:lineRule="auto"/>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u w:val="single"/>
        </w:rPr>
        <w:t xml:space="preserve">乙方：                    </w:t>
      </w:r>
    </w:p>
    <w:p w14:paraId="0234C2B7">
      <w:pPr>
        <w:pStyle w:val="3"/>
        <w:spacing w:line="360" w:lineRule="auto"/>
        <w:ind w:firstLine="482" w:firstLineChars="200"/>
        <w:rPr>
          <w:rFonts w:hint="eastAsia" w:ascii="宋体" w:hAnsi="宋体" w:eastAsia="宋体" w:cs="宋体"/>
          <w:b/>
          <w:bCs/>
          <w:color w:val="auto"/>
          <w:sz w:val="24"/>
          <w:szCs w:val="24"/>
        </w:rPr>
      </w:pPr>
    </w:p>
    <w:p w14:paraId="102D46DD">
      <w:pPr>
        <w:pStyle w:val="3"/>
        <w:spacing w:line="360" w:lineRule="auto"/>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二、合同标的的内容、规格、数量</w:t>
      </w:r>
    </w:p>
    <w:tbl>
      <w:tblPr>
        <w:tblStyle w:val="4"/>
        <w:tblW w:w="9417" w:type="dxa"/>
        <w:tblInd w:w="105"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287"/>
        <w:gridCol w:w="4313"/>
        <w:gridCol w:w="1037"/>
        <w:gridCol w:w="1027"/>
        <w:gridCol w:w="1033"/>
      </w:tblGrid>
      <w:tr w14:paraId="14D2ECD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36" w:hRule="atLeast"/>
        </w:trPr>
        <w:tc>
          <w:tcPr>
            <w:tcW w:w="720" w:type="dxa"/>
            <w:vAlign w:val="center"/>
          </w:tcPr>
          <w:p w14:paraId="62B21AE3">
            <w:pPr>
              <w:spacing w:line="360" w:lineRule="auto"/>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序号</w:t>
            </w:r>
          </w:p>
        </w:tc>
        <w:tc>
          <w:tcPr>
            <w:tcW w:w="1287" w:type="dxa"/>
            <w:vAlign w:val="center"/>
          </w:tcPr>
          <w:p w14:paraId="7CA24FE9">
            <w:pPr>
              <w:spacing w:line="360" w:lineRule="auto"/>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货物名称</w:t>
            </w:r>
          </w:p>
        </w:tc>
        <w:tc>
          <w:tcPr>
            <w:tcW w:w="4313" w:type="dxa"/>
            <w:vAlign w:val="center"/>
          </w:tcPr>
          <w:p w14:paraId="506E0715">
            <w:pPr>
              <w:spacing w:line="360" w:lineRule="auto"/>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产品参数</w:t>
            </w:r>
          </w:p>
        </w:tc>
        <w:tc>
          <w:tcPr>
            <w:tcW w:w="1037" w:type="dxa"/>
            <w:vAlign w:val="center"/>
          </w:tcPr>
          <w:p w14:paraId="4C0AE2E2">
            <w:pPr>
              <w:spacing w:line="360" w:lineRule="auto"/>
              <w:rPr>
                <w:rFonts w:hint="eastAsia" w:ascii="宋体" w:hAnsi="宋体" w:eastAsia="宋体" w:cs="宋体"/>
                <w:b/>
                <w:bCs/>
                <w:color w:val="auto"/>
                <w:sz w:val="24"/>
                <w:szCs w:val="24"/>
              </w:rPr>
            </w:pPr>
            <w:r>
              <w:rPr>
                <w:rFonts w:hint="eastAsia" w:ascii="宋体" w:hAnsi="宋体" w:eastAsia="宋体" w:cs="宋体"/>
                <w:b/>
                <w:bCs/>
                <w:color w:val="auto"/>
                <w:sz w:val="24"/>
                <w:szCs w:val="24"/>
              </w:rPr>
              <w:t>数量</w:t>
            </w:r>
          </w:p>
        </w:tc>
        <w:tc>
          <w:tcPr>
            <w:tcW w:w="1027" w:type="dxa"/>
            <w:vAlign w:val="center"/>
          </w:tcPr>
          <w:p w14:paraId="76FB0FB0">
            <w:pPr>
              <w:spacing w:line="360" w:lineRule="auto"/>
              <w:rPr>
                <w:rFonts w:hint="eastAsia" w:ascii="宋体" w:hAnsi="宋体" w:eastAsia="宋体" w:cs="宋体"/>
                <w:b/>
                <w:bCs/>
                <w:color w:val="auto"/>
                <w:sz w:val="24"/>
                <w:szCs w:val="24"/>
              </w:rPr>
            </w:pPr>
            <w:r>
              <w:rPr>
                <w:rFonts w:hint="eastAsia" w:ascii="宋体" w:hAnsi="宋体" w:eastAsia="宋体" w:cs="宋体"/>
                <w:b/>
                <w:bCs/>
                <w:color w:val="auto"/>
                <w:sz w:val="24"/>
                <w:szCs w:val="24"/>
              </w:rPr>
              <w:t>单价（元）</w:t>
            </w:r>
          </w:p>
        </w:tc>
        <w:tc>
          <w:tcPr>
            <w:tcW w:w="1033" w:type="dxa"/>
            <w:vAlign w:val="center"/>
          </w:tcPr>
          <w:p w14:paraId="6F64BA3A">
            <w:pPr>
              <w:spacing w:line="360" w:lineRule="auto"/>
              <w:rPr>
                <w:rFonts w:hint="eastAsia" w:ascii="宋体" w:hAnsi="宋体" w:eastAsia="宋体" w:cs="宋体"/>
                <w:b/>
                <w:bCs/>
                <w:color w:val="auto"/>
                <w:sz w:val="24"/>
                <w:szCs w:val="24"/>
              </w:rPr>
            </w:pPr>
            <w:r>
              <w:rPr>
                <w:rFonts w:hint="eastAsia" w:ascii="宋体" w:hAnsi="宋体" w:eastAsia="宋体" w:cs="宋体"/>
                <w:b/>
                <w:bCs/>
                <w:color w:val="auto"/>
                <w:sz w:val="24"/>
                <w:szCs w:val="24"/>
              </w:rPr>
              <w:t>总价（元）</w:t>
            </w:r>
          </w:p>
        </w:tc>
      </w:tr>
      <w:tr w14:paraId="16C17F2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81" w:hRule="atLeast"/>
        </w:trPr>
        <w:tc>
          <w:tcPr>
            <w:tcW w:w="720" w:type="dxa"/>
            <w:vAlign w:val="center"/>
          </w:tcPr>
          <w:p w14:paraId="2C46E619">
            <w:pPr>
              <w:spacing w:line="360" w:lineRule="auto"/>
              <w:jc w:val="center"/>
              <w:rPr>
                <w:rFonts w:hint="eastAsia" w:ascii="宋体" w:hAnsi="宋体" w:eastAsia="宋体" w:cs="宋体"/>
                <w:color w:val="auto"/>
                <w:sz w:val="24"/>
                <w:szCs w:val="24"/>
              </w:rPr>
            </w:pPr>
          </w:p>
        </w:tc>
        <w:tc>
          <w:tcPr>
            <w:tcW w:w="1287" w:type="dxa"/>
            <w:vAlign w:val="center"/>
          </w:tcPr>
          <w:p w14:paraId="4763FE3C">
            <w:pPr>
              <w:widowControl/>
              <w:spacing w:line="360" w:lineRule="auto"/>
              <w:jc w:val="center"/>
              <w:rPr>
                <w:rFonts w:hint="eastAsia" w:ascii="宋体" w:hAnsi="宋体" w:eastAsia="宋体" w:cs="宋体"/>
                <w:color w:val="auto"/>
                <w:sz w:val="24"/>
                <w:szCs w:val="24"/>
              </w:rPr>
            </w:pPr>
          </w:p>
        </w:tc>
        <w:tc>
          <w:tcPr>
            <w:tcW w:w="4313" w:type="dxa"/>
            <w:vAlign w:val="center"/>
          </w:tcPr>
          <w:p w14:paraId="4961E27D">
            <w:pPr>
              <w:spacing w:line="360" w:lineRule="auto"/>
              <w:jc w:val="center"/>
              <w:rPr>
                <w:rFonts w:hint="eastAsia" w:ascii="宋体" w:hAnsi="宋体" w:eastAsia="宋体" w:cs="宋体"/>
                <w:color w:val="auto"/>
                <w:sz w:val="24"/>
                <w:szCs w:val="24"/>
              </w:rPr>
            </w:pPr>
          </w:p>
        </w:tc>
        <w:tc>
          <w:tcPr>
            <w:tcW w:w="1037" w:type="dxa"/>
            <w:vAlign w:val="center"/>
          </w:tcPr>
          <w:p w14:paraId="6CC5E5D8">
            <w:pPr>
              <w:spacing w:line="360" w:lineRule="auto"/>
              <w:jc w:val="center"/>
              <w:rPr>
                <w:rFonts w:hint="eastAsia" w:ascii="宋体" w:hAnsi="宋体" w:eastAsia="宋体" w:cs="宋体"/>
                <w:color w:val="auto"/>
                <w:sz w:val="24"/>
                <w:szCs w:val="24"/>
              </w:rPr>
            </w:pPr>
          </w:p>
        </w:tc>
        <w:tc>
          <w:tcPr>
            <w:tcW w:w="1027" w:type="dxa"/>
            <w:vAlign w:val="center"/>
          </w:tcPr>
          <w:p w14:paraId="0BEA867A">
            <w:pPr>
              <w:spacing w:line="360" w:lineRule="auto"/>
              <w:jc w:val="center"/>
              <w:rPr>
                <w:rFonts w:hint="eastAsia" w:ascii="宋体" w:hAnsi="宋体" w:eastAsia="宋体" w:cs="宋体"/>
                <w:color w:val="auto"/>
                <w:sz w:val="24"/>
                <w:szCs w:val="24"/>
              </w:rPr>
            </w:pPr>
          </w:p>
        </w:tc>
        <w:tc>
          <w:tcPr>
            <w:tcW w:w="1033" w:type="dxa"/>
            <w:vAlign w:val="center"/>
          </w:tcPr>
          <w:p w14:paraId="6E8B03F6">
            <w:pPr>
              <w:spacing w:line="360" w:lineRule="auto"/>
              <w:jc w:val="center"/>
              <w:rPr>
                <w:rFonts w:hint="eastAsia" w:ascii="宋体" w:hAnsi="宋体" w:eastAsia="宋体" w:cs="宋体"/>
                <w:color w:val="auto"/>
                <w:sz w:val="24"/>
                <w:szCs w:val="24"/>
              </w:rPr>
            </w:pPr>
          </w:p>
        </w:tc>
      </w:tr>
    </w:tbl>
    <w:p w14:paraId="5358EE49">
      <w:pPr>
        <w:spacing w:line="360" w:lineRule="auto"/>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三、合同价格</w:t>
      </w:r>
    </w:p>
    <w:p w14:paraId="2A96426F">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3.1本合同项下总价款为人民币</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元（小写，精确到小数点后两位），即</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（大写）。</w:t>
      </w:r>
    </w:p>
    <w:p w14:paraId="576E010A">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3.2本项目为</w:t>
      </w:r>
      <w:r>
        <w:rPr>
          <w:rFonts w:hint="eastAsia" w:ascii="宋体" w:hAnsi="宋体" w:eastAsia="宋体" w:cs="宋体"/>
          <w:b/>
          <w:bCs/>
          <w:color w:val="auto"/>
          <w:sz w:val="24"/>
          <w:szCs w:val="24"/>
          <w:u w:val="single"/>
        </w:rPr>
        <w:t>固定总价合同</w:t>
      </w:r>
      <w:r>
        <w:rPr>
          <w:rFonts w:hint="eastAsia" w:ascii="宋体" w:hAnsi="宋体" w:eastAsia="宋体" w:cs="宋体"/>
          <w:color w:val="auto"/>
          <w:sz w:val="24"/>
          <w:szCs w:val="24"/>
        </w:rPr>
        <w:t>。本合同总价包括货物设计、制造、包装、仓储、运输装卸、保修期内备品备件、伴随服务等所有含税费用、员工工资，以及供应商认为需要的其他一切费用。系固定不变价格，且不受市场价格变化因素的影响。</w:t>
      </w:r>
    </w:p>
    <w:p w14:paraId="750F41FC">
      <w:pPr>
        <w:spacing w:line="360" w:lineRule="auto"/>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四、结算方式</w:t>
      </w:r>
    </w:p>
    <w:p w14:paraId="2B8470BE">
      <w:pPr>
        <w:spacing w:line="360" w:lineRule="auto"/>
        <w:ind w:firstLine="480" w:firstLineChars="200"/>
        <w:rPr>
          <w:rFonts w:hint="eastAsia" w:ascii="宋体" w:hAnsi="宋体" w:eastAsia="宋体" w:cs="宋体"/>
          <w:color w:val="auto"/>
          <w:sz w:val="24"/>
          <w:szCs w:val="24"/>
          <w:highlight w:val="yellow"/>
        </w:rPr>
      </w:pPr>
      <w:r>
        <w:rPr>
          <w:rFonts w:hint="eastAsia" w:ascii="宋体" w:hAnsi="宋体" w:eastAsia="宋体" w:cs="宋体"/>
          <w:color w:val="auto"/>
          <w:sz w:val="24"/>
          <w:szCs w:val="24"/>
        </w:rPr>
        <w:t>4.1全部货物安装、调试、培训完毕且验收合格后，支付合同总价款的100％。即人民币</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元（小写，精确到小数点后两位），（大写：</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52FBA6CA">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4.2付款前，乙方应向甲方开具符合财务、税务规定的等额增值税发票；</w:t>
      </w:r>
    </w:p>
    <w:p w14:paraId="1248DEFF">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4.3支付方式：银行转账；</w:t>
      </w:r>
    </w:p>
    <w:p w14:paraId="4830C47D">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4.4结算方式：验收合格后填写政府采购项目验收单（一式伍份），发票（按合同总价直开采购人），供应商持成交通知书、供货合同、正式发票、政府采购项目验收单，与采购人结算。</w:t>
      </w:r>
    </w:p>
    <w:p w14:paraId="42BE1534">
      <w:pPr>
        <w:spacing w:line="360" w:lineRule="auto"/>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五、供应商开户信息</w:t>
      </w:r>
    </w:p>
    <w:p w14:paraId="0E9468D1">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供应商名称：</w:t>
      </w:r>
      <w:r>
        <w:rPr>
          <w:rFonts w:hint="eastAsia" w:ascii="宋体" w:hAnsi="宋体" w:eastAsia="宋体" w:cs="宋体"/>
          <w:color w:val="auto"/>
          <w:sz w:val="24"/>
          <w:szCs w:val="24"/>
          <w:u w:val="single"/>
        </w:rPr>
        <w:t xml:space="preserve">                              </w:t>
      </w:r>
    </w:p>
    <w:p w14:paraId="4E0AE58D">
      <w:pPr>
        <w:spacing w:line="360" w:lineRule="auto"/>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开户行名称：</w:t>
      </w:r>
      <w:r>
        <w:rPr>
          <w:rFonts w:hint="eastAsia" w:ascii="宋体" w:hAnsi="宋体" w:eastAsia="宋体" w:cs="宋体"/>
          <w:color w:val="auto"/>
          <w:sz w:val="24"/>
          <w:szCs w:val="24"/>
          <w:u w:val="single"/>
        </w:rPr>
        <w:t xml:space="preserve">                              </w:t>
      </w:r>
    </w:p>
    <w:p w14:paraId="0768B22A">
      <w:pPr>
        <w:spacing w:line="360" w:lineRule="auto"/>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账号：</w:t>
      </w:r>
      <w:r>
        <w:rPr>
          <w:rFonts w:hint="eastAsia" w:ascii="宋体" w:hAnsi="宋体" w:eastAsia="宋体" w:cs="宋体"/>
          <w:color w:val="auto"/>
          <w:sz w:val="24"/>
          <w:szCs w:val="24"/>
          <w:u w:val="single"/>
        </w:rPr>
        <w:t xml:space="preserve">                                    </w:t>
      </w:r>
    </w:p>
    <w:p w14:paraId="2AEA373C">
      <w:pPr>
        <w:spacing w:line="360" w:lineRule="auto"/>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六、合同履行期限、地点和方式</w:t>
      </w:r>
    </w:p>
    <w:p w14:paraId="10E137A7">
      <w:pPr>
        <w:spacing w:line="360" w:lineRule="auto"/>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6.1交货期：自合同签订之日起30个日历日</w:t>
      </w:r>
      <w:r>
        <w:rPr>
          <w:rFonts w:hint="eastAsia" w:ascii="宋体" w:hAnsi="宋体" w:eastAsia="宋体" w:cs="宋体"/>
          <w:color w:val="auto"/>
          <w:sz w:val="24"/>
          <w:szCs w:val="24"/>
          <w:lang w:eastAsia="zh-CN"/>
        </w:rPr>
        <w:t>内</w:t>
      </w:r>
      <w:r>
        <w:rPr>
          <w:rFonts w:hint="eastAsia" w:ascii="宋体" w:hAnsi="宋体" w:eastAsia="宋体" w:cs="宋体"/>
          <w:color w:val="auto"/>
          <w:sz w:val="24"/>
          <w:szCs w:val="24"/>
        </w:rPr>
        <w:t>完成全部项目内容，并交付采购人验收合格。</w:t>
      </w:r>
    </w:p>
    <w:p w14:paraId="461E8A14">
      <w:pPr>
        <w:spacing w:line="360" w:lineRule="auto"/>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6.2交货地点：</w:t>
      </w:r>
      <w:r>
        <w:rPr>
          <w:rFonts w:hint="eastAsia" w:ascii="宋体" w:hAnsi="宋体" w:eastAsia="宋体" w:cs="宋体"/>
          <w:color w:val="auto"/>
          <w:sz w:val="24"/>
          <w:szCs w:val="24"/>
          <w:u w:val="single"/>
        </w:rPr>
        <w:t>采购人指定交货地点。</w:t>
      </w:r>
    </w:p>
    <w:p w14:paraId="07792C71">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6.3乙方应自行选择适宜的包装方式、运输工具及线路安排合同货物运输。</w:t>
      </w:r>
    </w:p>
    <w:p w14:paraId="5E24D8D4">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（1）产品及其备附件的包装应为出厂时的原包装，包装内应附有详细的装箱清单、出厂合格证明及其他相关资料。</w:t>
      </w:r>
    </w:p>
    <w:p w14:paraId="2E4F2F3A">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（2）运输由成交供应商负责，运杂费已包含在合同总价内，包括从产品供应地点运送至交付地点所含的运输费、装卸费、仓储费、保险费等。</w:t>
      </w:r>
    </w:p>
    <w:p w14:paraId="5D054F2B">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（3）运输方式由成交供应商自行选择，但必须保证按期交付，相关保险费用由乙方承担。</w:t>
      </w:r>
    </w:p>
    <w:p w14:paraId="0A18C35E">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（4）产品及其备附件到达采购人指定地点后，成交供应商应按有关技术规程和采购人要求进行存放和保管。</w:t>
      </w:r>
    </w:p>
    <w:p w14:paraId="62624FFD">
      <w:pPr>
        <w:spacing w:line="360" w:lineRule="auto"/>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七、合同当事人的权利和义务</w:t>
      </w:r>
    </w:p>
    <w:p w14:paraId="6FF41183">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7.1甲方的权利和义务</w:t>
      </w:r>
    </w:p>
    <w:p w14:paraId="61ADE0F6">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（1）甲方有权享有乙方按照上述约定提供的货物和服务。</w:t>
      </w:r>
    </w:p>
    <w:p w14:paraId="7EDC0B63">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（2）乙方未能按时交付合同货物时，甲方有权要求乙方赔偿违约金。</w:t>
      </w:r>
    </w:p>
    <w:p w14:paraId="59576A06">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（3）质保期内货物出现质量问题，接到甲方通知，乙方未能及时作出响应，则甲方有权自行或委托他人解决相关问题，乙方应承担由此发生的全部费用。</w:t>
      </w:r>
    </w:p>
    <w:p w14:paraId="40F2239E">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（4）乙方货物交付时，甲方应提供必要的便利条件协助乙方完成交付，并及时组织相关人员对货物进行验收。</w:t>
      </w:r>
    </w:p>
    <w:p w14:paraId="79B0E185">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（5）乙方按照合同完成履约后，甲方应按照合同约定及时支付合同价款。</w:t>
      </w:r>
    </w:p>
    <w:p w14:paraId="6E8524C0">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7.2乙方的权利和义务</w:t>
      </w:r>
    </w:p>
    <w:p w14:paraId="6A01B724">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（1）乙方有权要求甲方按照合同约定支付合同价款。</w:t>
      </w:r>
    </w:p>
    <w:p w14:paraId="7C420C99">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（2）乙方应按照合同约定及时交付合同货物。</w:t>
      </w:r>
    </w:p>
    <w:p w14:paraId="41D89345">
      <w:pPr>
        <w:spacing w:line="360" w:lineRule="auto"/>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八、售后服务及培训</w:t>
      </w:r>
    </w:p>
    <w:p w14:paraId="11A8F3C2">
      <w:pPr>
        <w:spacing w:line="360" w:lineRule="auto"/>
        <w:ind w:firstLine="482" w:firstLineChars="200"/>
        <w:rPr>
          <w:rFonts w:hint="eastAsia" w:ascii="宋体" w:hAnsi="宋体" w:eastAsia="宋体" w:cs="宋体"/>
          <w:color w:val="auto"/>
          <w:sz w:val="24"/>
          <w:szCs w:val="24"/>
        </w:rPr>
      </w:pPr>
      <w:r>
        <w:rPr>
          <w:rFonts w:hint="eastAsia" w:ascii="宋体" w:hAnsi="宋体" w:eastAsia="宋体" w:cs="宋体"/>
          <w:b/>
          <w:bCs/>
          <w:color w:val="auto"/>
          <w:sz w:val="24"/>
          <w:szCs w:val="24"/>
        </w:rPr>
        <w:t>质量保证期：自采购人签发最终验收合格证书之日起</w:t>
      </w:r>
      <w:r>
        <w:rPr>
          <w:rFonts w:hint="eastAsia" w:ascii="宋体" w:hAnsi="宋体" w:eastAsia="宋体" w:cs="宋体"/>
          <w:b/>
          <w:bCs/>
          <w:color w:val="auto"/>
          <w:sz w:val="24"/>
          <w:szCs w:val="24"/>
          <w:u w:val="single"/>
          <w:lang w:val="en-US" w:eastAsia="zh-CN"/>
        </w:rPr>
        <w:t>12个月</w:t>
      </w:r>
      <w:r>
        <w:rPr>
          <w:rFonts w:hint="eastAsia" w:ascii="宋体" w:hAnsi="宋体" w:eastAsia="宋体" w:cs="宋体"/>
          <w:color w:val="auto"/>
          <w:sz w:val="24"/>
          <w:szCs w:val="24"/>
        </w:rPr>
        <w:t>，若该质量保证期小于国家标准，则以国家标准为准。产品终身维修，由乙方承担。</w:t>
      </w:r>
    </w:p>
    <w:p w14:paraId="63ED858A">
      <w:pPr>
        <w:spacing w:line="360" w:lineRule="auto"/>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九、质量保证</w:t>
      </w:r>
    </w:p>
    <w:p w14:paraId="71098D77">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9.1保证所供产品的设计、制造、产品性能、材料的选择和材料的检验及产品的测试等，均应按国内外通行的现行标准和相应的技术规范执行，这些标准和技术规范应为合同签订日为止最新公布发行的标准和技术规范。</w:t>
      </w:r>
    </w:p>
    <w:p w14:paraId="63313282">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9.2保证所供产品进货渠道正规，无假货、水货或翻新货，并能按期交付。</w:t>
      </w:r>
    </w:p>
    <w:p w14:paraId="07411C80">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9.3保证所供产品在装卸、运输和仓储过程中有足够的包装保护，防止产品受潮、锈蚀、遭受冲撞及其他不可预见的损坏。</w:t>
      </w:r>
    </w:p>
    <w:p w14:paraId="0B70CCC3">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9.4成交供应商所供产品因侵权而产生的一切后果由成交供应商负责，采购人保留索赔权利。</w:t>
      </w:r>
    </w:p>
    <w:p w14:paraId="584EAFA4">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9.5技术资料</w:t>
      </w:r>
    </w:p>
    <w:p w14:paraId="63157E6C">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9.5.1产品合格证；</w:t>
      </w:r>
    </w:p>
    <w:p w14:paraId="5E93A632">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9.5.2产品技术参数；</w:t>
      </w:r>
    </w:p>
    <w:p w14:paraId="33DE7CE6">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9.5.3产品使用维护说明书（中文）；</w:t>
      </w:r>
    </w:p>
    <w:p w14:paraId="70C32FCB">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9.5.4其它资料。</w:t>
      </w:r>
    </w:p>
    <w:p w14:paraId="24448290">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9.6服务承诺</w:t>
      </w:r>
    </w:p>
    <w:p w14:paraId="02F92B52">
      <w:pPr>
        <w:spacing w:line="360" w:lineRule="auto"/>
        <w:ind w:firstLine="480" w:firstLineChars="200"/>
        <w:rPr>
          <w:rFonts w:hint="eastAsia" w:ascii="宋体" w:hAnsi="宋体" w:eastAsia="宋体" w:cs="宋体"/>
          <w:b/>
          <w:bCs/>
          <w:color w:val="auto"/>
          <w:sz w:val="24"/>
          <w:szCs w:val="24"/>
        </w:rPr>
      </w:pPr>
      <w:r>
        <w:rPr>
          <w:rFonts w:hint="eastAsia" w:ascii="宋体" w:hAnsi="宋体" w:eastAsia="宋体" w:cs="宋体"/>
          <w:color w:val="auto"/>
          <w:sz w:val="24"/>
          <w:szCs w:val="24"/>
        </w:rPr>
        <w:t>以响应文件、澄清表（函）、合同和随产品的相关文件为准。</w:t>
      </w:r>
    </w:p>
    <w:p w14:paraId="2B577BC1">
      <w:pPr>
        <w:spacing w:line="360" w:lineRule="auto"/>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十、违约责任及赔偿损失的计算办法</w:t>
      </w:r>
    </w:p>
    <w:p w14:paraId="6B508FC1">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10.1按《中华人民共和国民法典》中的相关条款执行。</w:t>
      </w:r>
    </w:p>
    <w:p w14:paraId="7AA80D64">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10.2供应商未按合同要求提供产品或产品质量不能满足合同要求的，采购人应当将供应商违约的情况以及拟采取的措施以书面形式报政府采购监管部门，根据政府采购监管部门的处理意见，采购人有权依据《民法典》有关条款及合同约定终止合同，并要求供应商承担合同价款30%的违约责任。同时，政府采购监管部门有权依据《政府采购法》及相关法律法规对供应商的违法行为进行相应的处罚。</w:t>
      </w:r>
    </w:p>
    <w:p w14:paraId="7917A91C">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10.3供应商未按照合同要求逾期交货的，每日应按照合同总金额的1‰向采购人支付违约金。</w:t>
      </w:r>
    </w:p>
    <w:p w14:paraId="4E599018">
      <w:pPr>
        <w:spacing w:line="360" w:lineRule="auto"/>
        <w:ind w:firstLine="482" w:firstLineChars="200"/>
        <w:rPr>
          <w:rFonts w:hint="eastAsia" w:ascii="宋体" w:hAnsi="宋体" w:eastAsia="宋体" w:cs="宋体"/>
          <w:color w:val="auto"/>
          <w:sz w:val="24"/>
          <w:szCs w:val="24"/>
        </w:rPr>
      </w:pPr>
      <w:r>
        <w:rPr>
          <w:rFonts w:hint="eastAsia" w:ascii="宋体" w:hAnsi="宋体" w:eastAsia="宋体" w:cs="宋体"/>
          <w:b/>
          <w:bCs/>
          <w:color w:val="auto"/>
          <w:sz w:val="24"/>
          <w:szCs w:val="24"/>
        </w:rPr>
        <w:t>十一、合同变更、解除及终止的条件</w:t>
      </w:r>
    </w:p>
    <w:p w14:paraId="24244FAD">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11.1本合同在执行过程中，如合同一方提出修改，须报政府采购管理部门同意后，由甲、乙双方签署书面修改协议，并成为本合同不可分割的一部分。除此之外，本合同的条件不得有任何变化或修改。</w:t>
      </w:r>
    </w:p>
    <w:p w14:paraId="651F9F31">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11.2有下述情形之一，当事人可发出书面通知全部或部分地解除合同，合同自通知到达对方时全部或部分地解除：</w:t>
      </w:r>
    </w:p>
    <w:p w14:paraId="57B0B0F7">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（1）乙方迟延交付合同货物超过</w:t>
      </w:r>
      <w:r>
        <w:rPr>
          <w:rFonts w:hint="eastAsia" w:ascii="宋体" w:hAnsi="宋体" w:eastAsia="宋体" w:cs="宋体"/>
          <w:b/>
          <w:bCs/>
          <w:color w:val="auto"/>
          <w:sz w:val="24"/>
          <w:szCs w:val="24"/>
          <w:u w:val="single"/>
        </w:rPr>
        <w:t>1个月</w:t>
      </w:r>
      <w:r>
        <w:rPr>
          <w:rFonts w:hint="eastAsia" w:ascii="宋体" w:hAnsi="宋体" w:eastAsia="宋体" w:cs="宋体"/>
          <w:color w:val="auto"/>
          <w:sz w:val="24"/>
          <w:szCs w:val="24"/>
        </w:rPr>
        <w:t>；</w:t>
      </w:r>
    </w:p>
    <w:p w14:paraId="535B9125">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合同货物由于乙方原因三次考核均未能达到技术性能考核指标或在合同约定了或双方在考核中另行达成了最低技术性能考核指标时均未能达到最低技术性能考核指标，且甲乙双方未就合同的后续履行协商达成一致；</w:t>
      </w:r>
    </w:p>
    <w:p w14:paraId="404D13AC">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（3）甲方迟延付款超过</w:t>
      </w:r>
      <w:r>
        <w:rPr>
          <w:rFonts w:hint="eastAsia" w:ascii="宋体" w:hAnsi="宋体" w:eastAsia="宋体" w:cs="宋体"/>
          <w:b/>
          <w:bCs/>
          <w:color w:val="auto"/>
          <w:sz w:val="24"/>
          <w:szCs w:val="24"/>
          <w:u w:val="single"/>
        </w:rPr>
        <w:t>2个月</w:t>
      </w:r>
      <w:r>
        <w:rPr>
          <w:rFonts w:hint="eastAsia" w:ascii="宋体" w:hAnsi="宋体" w:eastAsia="宋体" w:cs="宋体"/>
          <w:color w:val="auto"/>
          <w:sz w:val="24"/>
          <w:szCs w:val="24"/>
        </w:rPr>
        <w:t>；</w:t>
      </w:r>
    </w:p>
    <w:p w14:paraId="62D93A47">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（4）合同一方当事人未能履行合同项下任何其它义务（细微义务除外），或在未事先征得另一方当事人同意的情况下，从事任何可能在实质上不利影响其履行合同能力的活动，经另一方当事人书面通知后</w:t>
      </w:r>
      <w:r>
        <w:rPr>
          <w:rFonts w:hint="eastAsia" w:ascii="宋体" w:hAnsi="宋体" w:eastAsia="宋体" w:cs="宋体"/>
          <w:b/>
          <w:bCs/>
          <w:color w:val="auto"/>
          <w:sz w:val="24"/>
          <w:szCs w:val="24"/>
          <w:u w:val="single"/>
        </w:rPr>
        <w:t xml:space="preserve"> 15 </w:t>
      </w:r>
      <w:r>
        <w:rPr>
          <w:rFonts w:hint="eastAsia" w:ascii="宋体" w:hAnsi="宋体" w:eastAsia="宋体" w:cs="宋体"/>
          <w:color w:val="auto"/>
          <w:sz w:val="24"/>
          <w:szCs w:val="24"/>
        </w:rPr>
        <w:t>日内未能对其行为作出补救；</w:t>
      </w:r>
    </w:p>
    <w:p w14:paraId="032B90A0">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（5）合同一方当事人出现破产、清算、资不抵债、成为失信被执行人等可能丧失履约能力的情形，且未能提供令对方满意的履约保证金。</w:t>
      </w:r>
    </w:p>
    <w:p w14:paraId="26AC59BF">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11.3在乙方违约的情况下，甲方报告政府采购管理部门后，有权终止合同，并依法向乙方进行索赔实际损失(包括但不限于维权所支出的律师费、诉讼费、交通费等)。</w:t>
      </w:r>
    </w:p>
    <w:p w14:paraId="4C8842E6">
      <w:pPr>
        <w:spacing w:line="360" w:lineRule="auto"/>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十二、验收方式</w:t>
      </w:r>
    </w:p>
    <w:p w14:paraId="770F4605">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12.1经采购人确认后，组织成交供应商进行验收（必要时采购人可委托具有相关资质的第三方检测机构/技术专家对产品进行验收，需要国家法定检验部门进行检验或验收的由成交供应商负责联系）。验收合格后，填写政府采购项目验收单（一式伍份）作为对产品的最终认可。</w:t>
      </w:r>
    </w:p>
    <w:p w14:paraId="55EBF9D4">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12.2验收依据</w:t>
      </w:r>
    </w:p>
    <w:p w14:paraId="33A02912">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12.2.1招标文件、响应文件、澄清表（函）；</w:t>
      </w:r>
    </w:p>
    <w:p w14:paraId="0FDB8D63">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12.2.2本合同及附件文本；</w:t>
      </w:r>
    </w:p>
    <w:p w14:paraId="721305C1">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12.2.3合同签订时国家及行业现行的标准和技术规范。</w:t>
      </w:r>
    </w:p>
    <w:p w14:paraId="0B047D3A">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12.3成交供应商应向采购人提交项目实施过程中的所有资料，以便采购人日后管理和维护。</w:t>
      </w:r>
    </w:p>
    <w:p w14:paraId="53008CDF">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12.4鉴定和验收费用，由乙方承担。</w:t>
      </w:r>
    </w:p>
    <w:p w14:paraId="26DC513E">
      <w:pPr>
        <w:spacing w:line="360" w:lineRule="auto"/>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十三、保密约定</w:t>
      </w:r>
    </w:p>
    <w:p w14:paraId="3597E213">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13.1合同双方应对因履行合同而取得的另一方当事人的信息、资料等予以保密。未经另一方当事人书面同意，任何一方均不得为与履行合同无关的目的使用或向第三方披露另一方当事人提供的信息、资料。</w:t>
      </w:r>
    </w:p>
    <w:p w14:paraId="24F70985">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13.2合同当事人的保密义务不适用于下列信息：</w:t>
      </w:r>
    </w:p>
    <w:p w14:paraId="30A3A245">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（1）非因接受信息一方的过失现在或以后进入公共领域的信息；</w:t>
      </w:r>
    </w:p>
    <w:p w14:paraId="0259196F">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（2）接受信息一方当事人合法地从第三方获得并且据其善意了解第三方也不对此承担保密义务的信息；</w:t>
      </w:r>
    </w:p>
    <w:p w14:paraId="222F56F6">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（3）法律或法律的执行要求披露的信息。</w:t>
      </w:r>
    </w:p>
    <w:p w14:paraId="51BE63C8">
      <w:pPr>
        <w:spacing w:line="360" w:lineRule="auto"/>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十四、合同争议解决方式</w:t>
      </w:r>
    </w:p>
    <w:p w14:paraId="4E3ABAEE">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因执行本合同所发生的或与本合同有关的一切争议,双方应通过友好协商解决，协商不成的可依法向甲方所在地人民法院起诉。</w:t>
      </w:r>
    </w:p>
    <w:p w14:paraId="042FBFC4">
      <w:pPr>
        <w:spacing w:line="360" w:lineRule="auto"/>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十五、不可抗力情况下的免责约定</w:t>
      </w:r>
    </w:p>
    <w:p w14:paraId="498FFBD1">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15.1如果任何一方当事人受到不能预见、不能避免且不能克服的不可抗力事件的影响，例如战争、严重的火灾、台风、地震、洪水等情形，而无法履行合同项下的任何义务，则受影响的一方当事人应立即将此类事件的发生通知另一方当事人，并应在不可抗力事件发生后 28 日内将有关当局或机构出具的证明文件提交给另一方当事人。</w:t>
      </w:r>
    </w:p>
    <w:p w14:paraId="340798F3">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15.2受不可抗力事件影响的一方当事人对于不可抗力事件导致的任何合同义务的迟延履行或不能履行不承担违约责任。但该方当事人应尽快将不可抗力事件结束或消除的情况通知另一方当事人。</w:t>
      </w:r>
    </w:p>
    <w:p w14:paraId="0A8E5BE2">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15.3双方当事人应在不可抗力事件结束或其影响消除后立即继续履行其合同义务，合同期限也应相应顺延。如果不可抗力事件的影响持续超过</w:t>
      </w:r>
      <w:r>
        <w:rPr>
          <w:rFonts w:hint="eastAsia" w:ascii="宋体" w:hAnsi="宋体" w:eastAsia="宋体" w:cs="宋体"/>
          <w:b/>
          <w:bCs/>
          <w:color w:val="auto"/>
          <w:sz w:val="24"/>
          <w:szCs w:val="24"/>
          <w:u w:val="single"/>
        </w:rPr>
        <w:t xml:space="preserve"> 90 </w:t>
      </w:r>
      <w:r>
        <w:rPr>
          <w:rFonts w:hint="eastAsia" w:ascii="宋体" w:hAnsi="宋体" w:eastAsia="宋体" w:cs="宋体"/>
          <w:color w:val="auto"/>
          <w:sz w:val="24"/>
          <w:szCs w:val="24"/>
        </w:rPr>
        <w:t>日，则任何一方当事人均有权以书面通知解除合同。</w:t>
      </w:r>
    </w:p>
    <w:p w14:paraId="65605BE5">
      <w:pPr>
        <w:spacing w:line="360" w:lineRule="auto"/>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十六、生效条件、订立日期</w:t>
      </w:r>
    </w:p>
    <w:p w14:paraId="17F02FC8">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16.1本合同自签订之日起生效。</w:t>
      </w:r>
    </w:p>
    <w:p w14:paraId="4F95DFED">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16.2合同一式</w:t>
      </w:r>
      <w:r>
        <w:rPr>
          <w:rFonts w:hint="eastAsia" w:ascii="宋体" w:hAnsi="宋体" w:eastAsia="宋体" w:cs="宋体"/>
          <w:color w:val="auto"/>
          <w:sz w:val="24"/>
          <w:szCs w:val="24"/>
          <w:u w:val="single"/>
        </w:rPr>
        <w:t>6</w:t>
      </w:r>
      <w:r>
        <w:rPr>
          <w:rFonts w:hint="eastAsia" w:ascii="宋体" w:hAnsi="宋体" w:eastAsia="宋体" w:cs="宋体"/>
          <w:color w:val="auto"/>
          <w:sz w:val="24"/>
          <w:szCs w:val="24"/>
        </w:rPr>
        <w:t>份，采购人、成交供应商、</w:t>
      </w:r>
      <w:r>
        <w:rPr>
          <w:rFonts w:hint="eastAsia" w:ascii="宋体" w:hAnsi="宋体" w:eastAsia="宋体" w:cs="宋体"/>
          <w:color w:val="auto"/>
          <w:sz w:val="24"/>
          <w:szCs w:val="24"/>
          <w:lang w:eastAsia="zh-CN"/>
        </w:rPr>
        <w:t>代理机构</w:t>
      </w:r>
      <w:r>
        <w:rPr>
          <w:rFonts w:hint="eastAsia" w:ascii="宋体" w:hAnsi="宋体" w:eastAsia="宋体" w:cs="宋体"/>
          <w:color w:val="auto"/>
          <w:sz w:val="24"/>
          <w:szCs w:val="24"/>
        </w:rPr>
        <w:t>机构各执</w:t>
      </w:r>
      <w:r>
        <w:rPr>
          <w:rFonts w:hint="eastAsia" w:ascii="宋体" w:hAnsi="宋体" w:eastAsia="宋体" w:cs="宋体"/>
          <w:color w:val="auto"/>
          <w:sz w:val="24"/>
          <w:szCs w:val="24"/>
          <w:u w:val="single"/>
        </w:rPr>
        <w:t>1</w:t>
      </w:r>
      <w:r>
        <w:rPr>
          <w:rFonts w:hint="eastAsia" w:ascii="宋体" w:hAnsi="宋体" w:eastAsia="宋体" w:cs="宋体"/>
          <w:color w:val="auto"/>
          <w:sz w:val="24"/>
          <w:szCs w:val="24"/>
        </w:rPr>
        <w:t>份；政府采购监管机构备案</w:t>
      </w:r>
      <w:r>
        <w:rPr>
          <w:rFonts w:hint="eastAsia" w:ascii="宋体" w:hAnsi="宋体" w:eastAsia="宋体" w:cs="宋体"/>
          <w:color w:val="auto"/>
          <w:sz w:val="24"/>
          <w:szCs w:val="24"/>
          <w:u w:val="single"/>
        </w:rPr>
        <w:t>1</w:t>
      </w:r>
      <w:r>
        <w:rPr>
          <w:rFonts w:hint="eastAsia" w:ascii="宋体" w:hAnsi="宋体" w:eastAsia="宋体" w:cs="宋体"/>
          <w:color w:val="auto"/>
          <w:sz w:val="24"/>
          <w:szCs w:val="24"/>
        </w:rPr>
        <w:t>份，成交供应商办理结算</w:t>
      </w:r>
      <w:r>
        <w:rPr>
          <w:rFonts w:hint="eastAsia" w:ascii="宋体" w:hAnsi="宋体" w:eastAsia="宋体" w:cs="宋体"/>
          <w:color w:val="auto"/>
          <w:sz w:val="24"/>
          <w:szCs w:val="24"/>
          <w:u w:val="single"/>
        </w:rPr>
        <w:t>2</w:t>
      </w:r>
      <w:r>
        <w:rPr>
          <w:rFonts w:hint="eastAsia" w:ascii="宋体" w:hAnsi="宋体" w:eastAsia="宋体" w:cs="宋体"/>
          <w:color w:val="auto"/>
          <w:sz w:val="24"/>
          <w:szCs w:val="24"/>
        </w:rPr>
        <w:t>份。</w:t>
      </w:r>
    </w:p>
    <w:p w14:paraId="064C5397">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16.3如本合同有未尽事宜，以招标文件为准，招标文件未做要求的，由双方依法订立补充合同。</w:t>
      </w:r>
    </w:p>
    <w:p w14:paraId="273F5B05">
      <w:pPr>
        <w:spacing w:line="360" w:lineRule="auto"/>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十七、其他事项</w:t>
      </w:r>
    </w:p>
    <w:p w14:paraId="1ADBAA91">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合同其他事项双方另行协商补充：</w:t>
      </w:r>
      <w:r>
        <w:rPr>
          <w:rFonts w:hint="eastAsia" w:ascii="宋体" w:hAnsi="宋体" w:eastAsia="宋体" w:cs="宋体"/>
          <w:color w:val="auto"/>
          <w:sz w:val="24"/>
          <w:szCs w:val="24"/>
          <w:u w:val="single"/>
        </w:rPr>
        <w:t xml:space="preserve">                /                  </w:t>
      </w:r>
    </w:p>
    <w:p w14:paraId="5AA7200B">
      <w:pPr>
        <w:tabs>
          <w:tab w:val="left" w:pos="480"/>
        </w:tabs>
        <w:spacing w:line="52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（此后无正文）</w:t>
      </w:r>
    </w:p>
    <w:p w14:paraId="0F1D5509">
      <w:pPr>
        <w:tabs>
          <w:tab w:val="left" w:pos="480"/>
        </w:tabs>
        <w:spacing w:line="520" w:lineRule="exact"/>
        <w:ind w:firstLine="480" w:firstLineChars="200"/>
        <w:rPr>
          <w:rFonts w:hint="eastAsia" w:ascii="宋体" w:hAnsi="宋体" w:eastAsia="宋体" w:cs="宋体"/>
          <w:color w:val="auto"/>
          <w:sz w:val="24"/>
          <w:szCs w:val="24"/>
        </w:rPr>
      </w:pPr>
    </w:p>
    <w:p w14:paraId="1E7B6241">
      <w:pPr>
        <w:tabs>
          <w:tab w:val="left" w:pos="480"/>
        </w:tabs>
        <w:spacing w:line="520" w:lineRule="exact"/>
        <w:ind w:firstLine="480" w:firstLineChars="200"/>
        <w:rPr>
          <w:rFonts w:hint="eastAsia" w:ascii="宋体" w:hAnsi="宋体" w:eastAsia="宋体" w:cs="宋体"/>
          <w:color w:val="auto"/>
          <w:sz w:val="24"/>
          <w:szCs w:val="24"/>
        </w:rPr>
      </w:pPr>
    </w:p>
    <w:tbl>
      <w:tblPr>
        <w:tblStyle w:val="4"/>
        <w:tblpPr w:leftFromText="181" w:rightFromText="181" w:vertAnchor="text" w:horzAnchor="page" w:tblpX="1507" w:tblpYSpec="top"/>
        <w:tblOverlap w:val="never"/>
        <w:tblW w:w="93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28"/>
        <w:gridCol w:w="4424"/>
      </w:tblGrid>
      <w:tr w14:paraId="6E2F4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rPr>
        <w:tc>
          <w:tcPr>
            <w:tcW w:w="4928" w:type="dxa"/>
            <w:noWrap/>
          </w:tcPr>
          <w:p w14:paraId="4D4E277B">
            <w:pPr>
              <w:overflowPunct w:val="0"/>
              <w:topLinePunct/>
              <w:spacing w:line="46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甲  方</w:t>
            </w:r>
          </w:p>
        </w:tc>
        <w:tc>
          <w:tcPr>
            <w:tcW w:w="4424" w:type="dxa"/>
            <w:noWrap/>
          </w:tcPr>
          <w:p w14:paraId="1B45B751">
            <w:pPr>
              <w:overflowPunct w:val="0"/>
              <w:topLinePunct/>
              <w:spacing w:line="46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乙  方</w:t>
            </w:r>
          </w:p>
        </w:tc>
      </w:tr>
      <w:tr w14:paraId="4D083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atLeast"/>
        </w:trPr>
        <w:tc>
          <w:tcPr>
            <w:tcW w:w="4928" w:type="dxa"/>
            <w:noWrap/>
            <w:vAlign w:val="center"/>
          </w:tcPr>
          <w:p w14:paraId="7DEC81A7">
            <w:pPr>
              <w:overflowPunct w:val="0"/>
              <w:topLinePunct/>
              <w:spacing w:line="460" w:lineRule="exact"/>
              <w:rPr>
                <w:rFonts w:hint="eastAsia" w:ascii="宋体" w:hAnsi="宋体" w:eastAsia="宋体" w:cs="宋体"/>
                <w:color w:val="auto"/>
                <w:sz w:val="24"/>
                <w:szCs w:val="24"/>
              </w:rPr>
            </w:pPr>
            <w:r>
              <w:rPr>
                <w:rFonts w:hint="eastAsia" w:ascii="宋体" w:hAnsi="宋体" w:eastAsia="宋体" w:cs="宋体"/>
                <w:color w:val="auto"/>
                <w:sz w:val="24"/>
                <w:szCs w:val="24"/>
              </w:rPr>
              <w:t>采购人全称</w:t>
            </w:r>
          </w:p>
          <w:p w14:paraId="141B010C">
            <w:pPr>
              <w:overflowPunct w:val="0"/>
              <w:topLinePunct/>
              <w:spacing w:line="460" w:lineRule="exact"/>
              <w:ind w:firstLine="480"/>
              <w:jc w:val="center"/>
              <w:rPr>
                <w:rFonts w:hint="eastAsia" w:ascii="宋体" w:hAnsi="宋体" w:eastAsia="宋体" w:cs="宋体"/>
                <w:color w:val="auto"/>
                <w:sz w:val="24"/>
                <w:szCs w:val="24"/>
              </w:rPr>
            </w:pPr>
            <w:r>
              <w:rPr>
                <w:rFonts w:hint="eastAsia" w:ascii="宋体" w:hAnsi="宋体" w:eastAsia="宋体" w:cs="宋体"/>
                <w:color w:val="auto"/>
                <w:sz w:val="24"/>
                <w:szCs w:val="24"/>
              </w:rPr>
              <w:t>（公章）</w:t>
            </w:r>
          </w:p>
        </w:tc>
        <w:tc>
          <w:tcPr>
            <w:tcW w:w="4424" w:type="dxa"/>
            <w:noWrap/>
            <w:vAlign w:val="center"/>
          </w:tcPr>
          <w:p w14:paraId="6AAB2A2D">
            <w:pPr>
              <w:overflowPunct w:val="0"/>
              <w:topLinePunct/>
              <w:spacing w:line="460" w:lineRule="exact"/>
              <w:rPr>
                <w:rFonts w:hint="eastAsia" w:ascii="宋体" w:hAnsi="宋体" w:eastAsia="宋体" w:cs="宋体"/>
                <w:color w:val="auto"/>
                <w:sz w:val="24"/>
                <w:szCs w:val="24"/>
              </w:rPr>
            </w:pPr>
            <w:r>
              <w:rPr>
                <w:rFonts w:hint="eastAsia" w:ascii="宋体" w:hAnsi="宋体" w:eastAsia="宋体" w:cs="宋体"/>
                <w:color w:val="auto"/>
                <w:sz w:val="24"/>
                <w:szCs w:val="24"/>
              </w:rPr>
              <w:t>中标人全称</w:t>
            </w:r>
          </w:p>
          <w:p w14:paraId="350B4433">
            <w:pPr>
              <w:overflowPunct w:val="0"/>
              <w:topLinePunct/>
              <w:spacing w:line="460" w:lineRule="exact"/>
              <w:ind w:firstLine="480"/>
              <w:jc w:val="center"/>
              <w:rPr>
                <w:rFonts w:hint="eastAsia" w:ascii="宋体" w:hAnsi="宋体" w:eastAsia="宋体" w:cs="宋体"/>
                <w:color w:val="auto"/>
                <w:sz w:val="24"/>
                <w:szCs w:val="24"/>
              </w:rPr>
            </w:pPr>
            <w:r>
              <w:rPr>
                <w:rFonts w:hint="eastAsia" w:ascii="宋体" w:hAnsi="宋体" w:eastAsia="宋体" w:cs="宋体"/>
                <w:color w:val="auto"/>
                <w:sz w:val="24"/>
                <w:szCs w:val="24"/>
              </w:rPr>
              <w:t>（公章）</w:t>
            </w:r>
          </w:p>
        </w:tc>
      </w:tr>
      <w:tr w14:paraId="5FA05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atLeast"/>
        </w:trPr>
        <w:tc>
          <w:tcPr>
            <w:tcW w:w="4928" w:type="dxa"/>
            <w:noWrap/>
          </w:tcPr>
          <w:p w14:paraId="7B6C52F1">
            <w:pPr>
              <w:overflowPunct w:val="0"/>
              <w:topLinePunct/>
              <w:spacing w:line="460" w:lineRule="exact"/>
              <w:rPr>
                <w:rFonts w:hint="eastAsia" w:ascii="宋体" w:hAnsi="宋体" w:eastAsia="宋体" w:cs="宋体"/>
                <w:color w:val="auto"/>
                <w:sz w:val="24"/>
                <w:szCs w:val="24"/>
              </w:rPr>
            </w:pPr>
            <w:r>
              <w:rPr>
                <w:rFonts w:hint="eastAsia" w:ascii="宋体" w:hAnsi="宋体" w:eastAsia="宋体" w:cs="宋体"/>
                <w:color w:val="auto"/>
                <w:sz w:val="24"/>
                <w:szCs w:val="24"/>
              </w:rPr>
              <w:t xml:space="preserve">地址： </w:t>
            </w:r>
          </w:p>
        </w:tc>
        <w:tc>
          <w:tcPr>
            <w:tcW w:w="4424" w:type="dxa"/>
            <w:noWrap/>
          </w:tcPr>
          <w:p w14:paraId="35EC16BC">
            <w:pPr>
              <w:overflowPunct w:val="0"/>
              <w:topLinePunct/>
              <w:spacing w:line="460" w:lineRule="exact"/>
              <w:rPr>
                <w:rFonts w:hint="eastAsia" w:ascii="宋体" w:hAnsi="宋体" w:eastAsia="宋体" w:cs="宋体"/>
                <w:color w:val="auto"/>
                <w:sz w:val="24"/>
                <w:szCs w:val="24"/>
              </w:rPr>
            </w:pPr>
            <w:r>
              <w:rPr>
                <w:rFonts w:hint="eastAsia" w:ascii="宋体" w:hAnsi="宋体" w:eastAsia="宋体" w:cs="宋体"/>
                <w:color w:val="auto"/>
                <w:sz w:val="24"/>
                <w:szCs w:val="24"/>
              </w:rPr>
              <w:t>地址：</w:t>
            </w:r>
          </w:p>
        </w:tc>
      </w:tr>
      <w:tr w14:paraId="65028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4928" w:type="dxa"/>
            <w:noWrap/>
          </w:tcPr>
          <w:p w14:paraId="30384790">
            <w:pPr>
              <w:overflowPunct w:val="0"/>
              <w:topLinePunct/>
              <w:spacing w:line="460" w:lineRule="exact"/>
              <w:rPr>
                <w:rFonts w:hint="eastAsia" w:ascii="宋体" w:hAnsi="宋体" w:eastAsia="宋体" w:cs="宋体"/>
                <w:color w:val="auto"/>
                <w:sz w:val="24"/>
                <w:szCs w:val="24"/>
              </w:rPr>
            </w:pPr>
            <w:r>
              <w:rPr>
                <w:rFonts w:hint="eastAsia" w:ascii="宋体" w:hAnsi="宋体" w:eastAsia="宋体" w:cs="宋体"/>
                <w:color w:val="auto"/>
                <w:sz w:val="24"/>
                <w:szCs w:val="24"/>
              </w:rPr>
              <w:t>邮编：</w:t>
            </w:r>
          </w:p>
        </w:tc>
        <w:tc>
          <w:tcPr>
            <w:tcW w:w="4424" w:type="dxa"/>
            <w:noWrap/>
          </w:tcPr>
          <w:p w14:paraId="6A7332A5">
            <w:pPr>
              <w:overflowPunct w:val="0"/>
              <w:topLinePunct/>
              <w:spacing w:line="460" w:lineRule="exact"/>
              <w:rPr>
                <w:rFonts w:hint="eastAsia" w:ascii="宋体" w:hAnsi="宋体" w:eastAsia="宋体" w:cs="宋体"/>
                <w:color w:val="auto"/>
                <w:sz w:val="24"/>
                <w:szCs w:val="24"/>
              </w:rPr>
            </w:pPr>
            <w:r>
              <w:rPr>
                <w:rFonts w:hint="eastAsia" w:ascii="宋体" w:hAnsi="宋体" w:eastAsia="宋体" w:cs="宋体"/>
                <w:color w:val="auto"/>
                <w:sz w:val="24"/>
                <w:szCs w:val="24"/>
              </w:rPr>
              <w:t>邮编：</w:t>
            </w:r>
          </w:p>
        </w:tc>
      </w:tr>
      <w:tr w14:paraId="48406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5" w:hRule="atLeast"/>
        </w:trPr>
        <w:tc>
          <w:tcPr>
            <w:tcW w:w="4928" w:type="dxa"/>
            <w:noWrap/>
          </w:tcPr>
          <w:p w14:paraId="0A57A5E4">
            <w:pPr>
              <w:overflowPunct w:val="0"/>
              <w:topLinePunct/>
              <w:spacing w:line="460" w:lineRule="exact"/>
              <w:rPr>
                <w:rFonts w:hint="eastAsia" w:ascii="宋体" w:hAnsi="宋体" w:eastAsia="宋体" w:cs="宋体"/>
                <w:color w:val="auto"/>
                <w:sz w:val="24"/>
                <w:szCs w:val="24"/>
              </w:rPr>
            </w:pPr>
            <w:r>
              <w:rPr>
                <w:rFonts w:hint="eastAsia" w:ascii="宋体" w:hAnsi="宋体" w:eastAsia="宋体" w:cs="宋体"/>
                <w:color w:val="auto"/>
                <w:sz w:val="24"/>
                <w:szCs w:val="24"/>
              </w:rPr>
              <w:t xml:space="preserve">负责人（签字）： </w:t>
            </w:r>
          </w:p>
        </w:tc>
        <w:tc>
          <w:tcPr>
            <w:tcW w:w="4424" w:type="dxa"/>
            <w:noWrap/>
          </w:tcPr>
          <w:p w14:paraId="602ED9F9">
            <w:pPr>
              <w:overflowPunct w:val="0"/>
              <w:topLinePunct/>
              <w:spacing w:line="460" w:lineRule="exact"/>
              <w:rPr>
                <w:rFonts w:hint="eastAsia" w:ascii="宋体" w:hAnsi="宋体" w:eastAsia="宋体" w:cs="宋体"/>
                <w:color w:val="auto"/>
                <w:sz w:val="24"/>
                <w:szCs w:val="24"/>
              </w:rPr>
            </w:pPr>
            <w:r>
              <w:rPr>
                <w:rFonts w:hint="eastAsia" w:ascii="宋体" w:hAnsi="宋体" w:eastAsia="宋体" w:cs="宋体"/>
                <w:color w:val="auto"/>
                <w:sz w:val="24"/>
                <w:szCs w:val="24"/>
              </w:rPr>
              <w:t>法定代表人或被授权人</w:t>
            </w:r>
          </w:p>
          <w:p w14:paraId="515B00BE">
            <w:pPr>
              <w:overflowPunct w:val="0"/>
              <w:topLinePunct/>
              <w:spacing w:line="460" w:lineRule="exact"/>
              <w:rPr>
                <w:rFonts w:hint="eastAsia" w:ascii="宋体" w:hAnsi="宋体" w:eastAsia="宋体" w:cs="宋体"/>
                <w:color w:val="auto"/>
                <w:sz w:val="24"/>
                <w:szCs w:val="24"/>
              </w:rPr>
            </w:pPr>
            <w:r>
              <w:rPr>
                <w:rFonts w:hint="eastAsia" w:ascii="宋体" w:hAnsi="宋体" w:eastAsia="宋体" w:cs="宋体"/>
                <w:color w:val="auto"/>
                <w:sz w:val="24"/>
                <w:szCs w:val="24"/>
              </w:rPr>
              <w:t>（签字）：</w:t>
            </w:r>
          </w:p>
        </w:tc>
      </w:tr>
      <w:tr w14:paraId="722E6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atLeast"/>
        </w:trPr>
        <w:tc>
          <w:tcPr>
            <w:tcW w:w="4928" w:type="dxa"/>
            <w:noWrap/>
          </w:tcPr>
          <w:p w14:paraId="2730D763">
            <w:pPr>
              <w:overflowPunct w:val="0"/>
              <w:topLinePunct/>
              <w:spacing w:line="460" w:lineRule="exact"/>
              <w:rPr>
                <w:rFonts w:hint="eastAsia" w:ascii="宋体" w:hAnsi="宋体" w:eastAsia="宋体" w:cs="宋体"/>
                <w:color w:val="auto"/>
                <w:sz w:val="24"/>
                <w:szCs w:val="24"/>
              </w:rPr>
            </w:pPr>
            <w:r>
              <w:rPr>
                <w:rFonts w:hint="eastAsia" w:ascii="宋体" w:hAnsi="宋体" w:eastAsia="宋体" w:cs="宋体"/>
                <w:color w:val="auto"/>
                <w:sz w:val="24"/>
                <w:szCs w:val="24"/>
              </w:rPr>
              <w:t>电话：</w:t>
            </w:r>
          </w:p>
        </w:tc>
        <w:tc>
          <w:tcPr>
            <w:tcW w:w="4424" w:type="dxa"/>
            <w:noWrap/>
          </w:tcPr>
          <w:p w14:paraId="582104C7">
            <w:pPr>
              <w:overflowPunct w:val="0"/>
              <w:topLinePunct/>
              <w:spacing w:line="460" w:lineRule="exact"/>
              <w:rPr>
                <w:rFonts w:hint="eastAsia" w:ascii="宋体" w:hAnsi="宋体" w:eastAsia="宋体" w:cs="宋体"/>
                <w:color w:val="auto"/>
                <w:sz w:val="24"/>
                <w:szCs w:val="24"/>
              </w:rPr>
            </w:pPr>
            <w:r>
              <w:rPr>
                <w:rFonts w:hint="eastAsia" w:ascii="宋体" w:hAnsi="宋体" w:eastAsia="宋体" w:cs="宋体"/>
                <w:color w:val="auto"/>
                <w:sz w:val="24"/>
                <w:szCs w:val="24"/>
              </w:rPr>
              <w:t>电话：</w:t>
            </w:r>
          </w:p>
        </w:tc>
      </w:tr>
      <w:tr w14:paraId="7E1EC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trPr>
        <w:tc>
          <w:tcPr>
            <w:tcW w:w="4928" w:type="dxa"/>
            <w:noWrap/>
          </w:tcPr>
          <w:p w14:paraId="7E1DA13A">
            <w:pPr>
              <w:overflowPunct w:val="0"/>
              <w:topLinePunct/>
              <w:spacing w:line="460" w:lineRule="exact"/>
              <w:rPr>
                <w:rFonts w:hint="eastAsia" w:ascii="宋体" w:hAnsi="宋体" w:eastAsia="宋体" w:cs="宋体"/>
                <w:color w:val="auto"/>
                <w:sz w:val="24"/>
                <w:szCs w:val="24"/>
              </w:rPr>
            </w:pPr>
            <w:r>
              <w:rPr>
                <w:rFonts w:hint="eastAsia" w:ascii="宋体" w:hAnsi="宋体" w:eastAsia="宋体" w:cs="宋体"/>
                <w:color w:val="auto"/>
                <w:sz w:val="24"/>
                <w:szCs w:val="24"/>
              </w:rPr>
              <w:t>传真：</w:t>
            </w:r>
          </w:p>
        </w:tc>
        <w:tc>
          <w:tcPr>
            <w:tcW w:w="4424" w:type="dxa"/>
            <w:noWrap/>
          </w:tcPr>
          <w:p w14:paraId="30612465">
            <w:pPr>
              <w:overflowPunct w:val="0"/>
              <w:topLinePunct/>
              <w:spacing w:line="460" w:lineRule="exact"/>
              <w:rPr>
                <w:rFonts w:hint="eastAsia" w:ascii="宋体" w:hAnsi="宋体" w:eastAsia="宋体" w:cs="宋体"/>
                <w:color w:val="auto"/>
                <w:sz w:val="24"/>
                <w:szCs w:val="24"/>
              </w:rPr>
            </w:pPr>
            <w:r>
              <w:rPr>
                <w:rFonts w:hint="eastAsia" w:ascii="宋体" w:hAnsi="宋体" w:eastAsia="宋体" w:cs="宋体"/>
                <w:color w:val="auto"/>
                <w:sz w:val="24"/>
                <w:szCs w:val="24"/>
              </w:rPr>
              <w:t>传真：</w:t>
            </w:r>
          </w:p>
        </w:tc>
      </w:tr>
      <w:tr w14:paraId="25C07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trPr>
        <w:tc>
          <w:tcPr>
            <w:tcW w:w="4928" w:type="dxa"/>
            <w:noWrap/>
          </w:tcPr>
          <w:p w14:paraId="09E3BD36">
            <w:pPr>
              <w:overflowPunct w:val="0"/>
              <w:topLinePunct/>
              <w:spacing w:line="460" w:lineRule="exact"/>
              <w:rPr>
                <w:rFonts w:hint="eastAsia" w:ascii="宋体" w:hAnsi="宋体" w:eastAsia="宋体" w:cs="宋体"/>
                <w:color w:val="auto"/>
                <w:sz w:val="24"/>
                <w:szCs w:val="24"/>
              </w:rPr>
            </w:pPr>
          </w:p>
        </w:tc>
        <w:tc>
          <w:tcPr>
            <w:tcW w:w="4424" w:type="dxa"/>
            <w:noWrap/>
          </w:tcPr>
          <w:p w14:paraId="21550F0C">
            <w:pPr>
              <w:overflowPunct w:val="0"/>
              <w:topLinePunct/>
              <w:spacing w:line="460" w:lineRule="exact"/>
              <w:rPr>
                <w:rFonts w:hint="eastAsia" w:ascii="宋体" w:hAnsi="宋体" w:eastAsia="宋体" w:cs="宋体"/>
                <w:color w:val="auto"/>
                <w:sz w:val="24"/>
                <w:szCs w:val="24"/>
              </w:rPr>
            </w:pPr>
            <w:r>
              <w:rPr>
                <w:rFonts w:hint="eastAsia" w:ascii="宋体" w:hAnsi="宋体" w:eastAsia="宋体" w:cs="宋体"/>
                <w:color w:val="auto"/>
                <w:sz w:val="24"/>
                <w:szCs w:val="24"/>
              </w:rPr>
              <w:t>开户银行：</w:t>
            </w:r>
          </w:p>
        </w:tc>
      </w:tr>
      <w:tr w14:paraId="110CF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4928" w:type="dxa"/>
            <w:noWrap/>
          </w:tcPr>
          <w:p w14:paraId="689F45BF">
            <w:pPr>
              <w:overflowPunct w:val="0"/>
              <w:topLinePunct/>
              <w:spacing w:line="460" w:lineRule="exact"/>
              <w:rPr>
                <w:rFonts w:hint="eastAsia" w:ascii="宋体" w:hAnsi="宋体" w:eastAsia="宋体" w:cs="宋体"/>
                <w:color w:val="auto"/>
                <w:sz w:val="24"/>
                <w:szCs w:val="24"/>
              </w:rPr>
            </w:pPr>
          </w:p>
        </w:tc>
        <w:tc>
          <w:tcPr>
            <w:tcW w:w="4424" w:type="dxa"/>
            <w:noWrap/>
          </w:tcPr>
          <w:p w14:paraId="25A87CD5">
            <w:pPr>
              <w:overflowPunct w:val="0"/>
              <w:topLinePunct/>
              <w:spacing w:line="460" w:lineRule="exact"/>
              <w:rPr>
                <w:rFonts w:hint="eastAsia" w:ascii="宋体" w:hAnsi="宋体" w:eastAsia="宋体" w:cs="宋体"/>
                <w:color w:val="auto"/>
                <w:sz w:val="24"/>
                <w:szCs w:val="24"/>
              </w:rPr>
            </w:pPr>
            <w:r>
              <w:rPr>
                <w:rFonts w:hint="eastAsia" w:ascii="宋体" w:hAnsi="宋体" w:eastAsia="宋体" w:cs="宋体"/>
                <w:color w:val="auto"/>
                <w:sz w:val="24"/>
                <w:szCs w:val="24"/>
              </w:rPr>
              <w:t>账号：</w:t>
            </w:r>
          </w:p>
        </w:tc>
      </w:tr>
      <w:tr w14:paraId="62364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trPr>
        <w:tc>
          <w:tcPr>
            <w:tcW w:w="9352" w:type="dxa"/>
            <w:gridSpan w:val="2"/>
            <w:noWrap/>
            <w:vAlign w:val="center"/>
          </w:tcPr>
          <w:p w14:paraId="25A58145">
            <w:pPr>
              <w:overflowPunct w:val="0"/>
              <w:topLinePunct/>
              <w:spacing w:line="46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年  月  日</w:t>
            </w:r>
          </w:p>
        </w:tc>
      </w:tr>
    </w:tbl>
    <w:p w14:paraId="64A93DC8">
      <w:bookmarkStart w:id="0" w:name="_GoBack"/>
      <w:bookmarkEnd w:id="0"/>
    </w:p>
    <w:sectPr>
      <w:pgSz w:w="11906" w:h="16838"/>
      <w:pgMar w:top="1440" w:right="1077" w:bottom="1440" w:left="107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894624"/>
    <w:rsid w:val="318522A3"/>
    <w:rsid w:val="71701B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snapToGrid w:val="0"/>
    </w:pPr>
    <w:rPr>
      <w:sz w:val="18"/>
      <w:szCs w:val="18"/>
    </w:rPr>
  </w:style>
  <w:style w:type="paragraph" w:styleId="3">
    <w:name w:val="toc 1"/>
    <w:basedOn w:val="1"/>
    <w:next w:val="1"/>
    <w:unhideWhenUsed/>
    <w:qFormat/>
    <w:uiPriority w:val="39"/>
    <w:pPr>
      <w:tabs>
        <w:tab w:val="left" w:pos="1418"/>
        <w:tab w:val="right" w:leader="dot" w:pos="8302"/>
      </w:tabs>
      <w:spacing w:line="960" w:lineRule="auto"/>
    </w:p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3340</Words>
  <Characters>3468</Characters>
  <Lines>0</Lines>
  <Paragraphs>0</Paragraphs>
  <TotalTime>0</TotalTime>
  <ScaleCrop>false</ScaleCrop>
  <LinksUpToDate>false</LinksUpToDate>
  <CharactersWithSpaces>3699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李玉萍</cp:lastModifiedBy>
  <dcterms:modified xsi:type="dcterms:W3CDTF">2025-10-11T01:07:40Z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6B00D75D772C44ACA0D95B574A6EF09F</vt:lpwstr>
  </property>
  <property fmtid="{D5CDD505-2E9C-101B-9397-08002B2CF9AE}" pid="4" name="KSOTemplateDocerSaveRecord">
    <vt:lpwstr>eyJoZGlkIjoiZDI1YjBlOTQzYmNjN2VlMzc2NDdjOGQyOWNiYjc2NDEiLCJ1c2VySWQiOiI0MDcwNDQ1MjgifQ==</vt:lpwstr>
  </property>
</Properties>
</file>