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版本号：HRC-ZBDL-2025-01214.1B320251011001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教学设备购置项目(三次)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HRC-ZBDL-2025-01214.1B3</w:t>
      </w:r>
      <w:r>
        <w:br/>
      </w:r>
      <w:r>
        <w:br/>
      </w:r>
      <w:r>
        <w:br/>
      </w:r>
    </w:p>
    <w:p>
      <w:pPr>
        <w:pStyle w:val="null3"/>
        <w:jc w:val="center"/>
        <w:outlineLvl w:val="2"/>
      </w:pPr>
      <w:r>
        <w:rPr>
          <w:rFonts w:ascii="仿宋_GB2312" w:hAnsi="仿宋_GB2312" w:cs="仿宋_GB2312" w:eastAsia="仿宋_GB2312"/>
          <w:sz w:val="28"/>
          <w:b/>
        </w:rPr>
        <w:t>西安市莲湖区行知小学</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西安市莲湖区行知小学</w:t>
      </w:r>
      <w:r>
        <w:rPr>
          <w:rFonts w:ascii="仿宋_GB2312" w:hAnsi="仿宋_GB2312" w:cs="仿宋_GB2312" w:eastAsia="仿宋_GB2312"/>
        </w:rPr>
        <w:t>委托，拟对</w:t>
      </w:r>
      <w:r>
        <w:rPr>
          <w:rFonts w:ascii="仿宋_GB2312" w:hAnsi="仿宋_GB2312" w:cs="仿宋_GB2312" w:eastAsia="仿宋_GB2312"/>
        </w:rPr>
        <w:t>教学设备购置项目(三次)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HRC-ZBDL-2025-01214.1B3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教学设备购置项目(三次)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为本部三年级更新多功能课桌椅270套、东校区一年级更新多功能课桌椅180套。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采购包1（教学设备购置项目）：属于专门面向中小企业采购。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1、供应商主体资格：供应商具有合格有效的企业法人营业执照、税务登记证、组织机构代码证（或三证合一营业执照 ) 。供应商需在项目电子化交易系统中按要求上传相应证明文件并进行电子签章。</w:t>
      </w:r>
    </w:p>
    <w:p>
      <w:pPr>
        <w:pStyle w:val="null3"/>
      </w:pPr>
      <w:r>
        <w:rPr>
          <w:rFonts w:ascii="仿宋_GB2312" w:hAnsi="仿宋_GB2312" w:cs="仿宋_GB2312" w:eastAsia="仿宋_GB2312"/>
        </w:rPr>
        <w:t>2、供应商代表资格：供应商应授权合法的人员参加谈判全过程，其中法定代表人直接参加谈判的，须出具法人身份证，并与营业执照上信息一致 。法定代表人授权代表参加谈判的，须出具法定代表人授权书及授权代表身份证。非法人单位参照执行。供应商需在项目电子化交易系统中按要求上传相应证明文件并进行电子签章。</w:t>
      </w:r>
    </w:p>
    <w:p>
      <w:pPr>
        <w:pStyle w:val="null3"/>
      </w:pPr>
      <w:r>
        <w:rPr>
          <w:rFonts w:ascii="仿宋_GB2312" w:hAnsi="仿宋_GB2312" w:cs="仿宋_GB2312" w:eastAsia="仿宋_GB2312"/>
        </w:rPr>
        <w:t>3、税收缴纳证明：提供谈判前六个月至今已缴纳任意一个月完税凭证或税务机关开具的完税证明（营业税、企业所得税 、增值税任意一种即可）；依法免税的应提供相关文件证明供应商需在项目电子化交易系统中按要求上传相应证明文件并 进行电子签章。</w:t>
      </w:r>
    </w:p>
    <w:p>
      <w:pPr>
        <w:pStyle w:val="null3"/>
      </w:pPr>
      <w:r>
        <w:rPr>
          <w:rFonts w:ascii="仿宋_GB2312" w:hAnsi="仿宋_GB2312" w:cs="仿宋_GB2312" w:eastAsia="仿宋_GB2312"/>
        </w:rPr>
        <w:t>4、社会保障资金缴纳证明：提供谈判前六个月至今已缴存 的任意一个月的社会保障资金缴存证明或社保机构开具的社会 保险参保缴费情况证明；依法不需要缴纳社会保障资金的应提 供相关文件证明；供应商需在项目电子化交易系统中按要求上 传相应证明文件并进行电子签章。</w:t>
      </w:r>
    </w:p>
    <w:p>
      <w:pPr>
        <w:pStyle w:val="null3"/>
      </w:pPr>
      <w:r>
        <w:rPr>
          <w:rFonts w:ascii="仿宋_GB2312" w:hAnsi="仿宋_GB2312" w:cs="仿宋_GB2312" w:eastAsia="仿宋_GB2312"/>
        </w:rPr>
        <w:t>5、财务状况报告：提供2024年经审计的财务报告，或谈判前三个月内开户银行开具的资信证明或政府采购信用担保机构出具的谈判担保函;供应商需在项目电子化交易系统中按要求上传相应证明文件并进行电子签章。</w:t>
      </w:r>
    </w:p>
    <w:p>
      <w:pPr>
        <w:pStyle w:val="null3"/>
      </w:pPr>
      <w:r>
        <w:rPr>
          <w:rFonts w:ascii="仿宋_GB2312" w:hAnsi="仿宋_GB2312" w:cs="仿宋_GB2312" w:eastAsia="仿宋_GB2312"/>
        </w:rPr>
        <w:t>6、控股、管理关系的不同单位：供应商负责人为同一人或者存在控股、管理关系的不同单位， 不得参加同一项目的投标。供应商需在项目电子化交易系统中按要求上传相应证明文件并进行电子签章。</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7、没有重大违法记录的书面声明：出具参加本次政府采购活动前三年内在经营活动中没有重大违法记录的书面声明；供应商需在项目电子化交易系统中按要求 上传相应证明文件并进行电子签章。</w:t>
      </w:r>
    </w:p>
    <w:p>
      <w:pPr>
        <w:pStyle w:val="null3"/>
      </w:pPr>
      <w:r>
        <w:rPr>
          <w:rFonts w:ascii="仿宋_GB2312" w:hAnsi="仿宋_GB2312" w:cs="仿宋_GB2312" w:eastAsia="仿宋_GB2312"/>
        </w:rPr>
        <w:t>8、专业技术能力承诺：提供具有履行本合同所必需的设备和专业技术能力的说明或承诺；供应商需在项目电子化交易系统中按要求上传相应证明文件并进行电子签章。</w:t>
      </w:r>
    </w:p>
    <w:p>
      <w:pPr>
        <w:pStyle w:val="null3"/>
      </w:pPr>
      <w:r>
        <w:rPr>
          <w:rFonts w:ascii="仿宋_GB2312" w:hAnsi="仿宋_GB2312" w:cs="仿宋_GB2312" w:eastAsia="仿宋_GB2312"/>
        </w:rPr>
        <w:t>9、 信誉截图：供应商不得为“信用中国” 网站（www.creditchina.gov.cn）（中国执行信息公开网）中列入失 信被执行人和重大税收违法 失信主体名单的供应商，不得为中国政府采购网（www.ccgp .gov.cn）政府采购严重违法失信行为记录名单中被财政部门禁止参加政府采购活动的供应商；供应商需在项目电子化交易系统中按要求上传相应证明文件并进行电子签章。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10、本项目专门面向中小企业采购：提供中小企业声明函，监狱企业和残疾人福利性单位视同小微企业；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西安市莲湖区行知小学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莲湖区团结中路103号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西安市莲湖区行知小学经办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15529382996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代理服务费收费标准：代理服务费收费标准：按国家发展改革委发布的《关于进一步放开建设项目专业服务价格的通知》(发改价格 (2015) 299 号) 计取，计算方法参照原国家计委颁布的《招标代理服务收费管理暂行办法》(计价格[2002]1980 号)标准计取，经协商由成交供应商向采购代理机构支付招标代理服务费，如本项目代理服务费不足伍仟元则供应商按伍仟元支付代理服务费。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西安市莲湖区行知小学</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西安市莲湖区行知小学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西安市莲湖区行知小学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华睿诚项目管理有限公司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投标产品需符合国家标准。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联系电话：18066891049</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为本部三年级更新多功能课桌椅270套、东校区一年级更新多功能课桌椅180套。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391,500.00</w:t>
      </w:r>
    </w:p>
    <w:p>
      <w:pPr>
        <w:pStyle w:val="null3"/>
      </w:pPr>
      <w:r>
        <w:rPr>
          <w:rFonts w:ascii="仿宋_GB2312" w:hAnsi="仿宋_GB2312" w:cs="仿宋_GB2312" w:eastAsia="仿宋_GB2312"/>
        </w:rPr>
        <w:t>采购包最高限价（元）: 391,500.00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391,500.00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color w:val="000000"/>
              </w:rPr>
              <w:t>一、课桌技术参数</w:t>
            </w:r>
          </w:p>
          <w:p>
            <w:pPr>
              <w:pStyle w:val="null3"/>
              <w:jc w:val="left"/>
            </w:pPr>
            <w:r>
              <w:rPr>
                <w:rFonts w:ascii="仿宋_GB2312" w:hAnsi="仿宋_GB2312" w:cs="仿宋_GB2312" w:eastAsia="仿宋_GB2312"/>
                <w:sz w:val="18"/>
                <w:color w:val="000000"/>
              </w:rPr>
              <w:t>（一）整体规格与功能</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1、课桌整体规格：450mm*600mm，整体高度可通过手动调节，调节范围640mm-790mm，所有尺寸允许误差±5mm，需符合《学校课桌椅功能尺寸及技术要求》中5号-0号标准。</w:t>
            </w:r>
          </w:p>
          <w:p>
            <w:pPr>
              <w:pStyle w:val="null3"/>
              <w:jc w:val="left"/>
            </w:pPr>
            <w:r>
              <w:rPr>
                <w:rFonts w:ascii="仿宋_GB2312" w:hAnsi="仿宋_GB2312" w:cs="仿宋_GB2312" w:eastAsia="仿宋_GB2312"/>
                <w:sz w:val="18"/>
                <w:color w:val="000000"/>
              </w:rPr>
              <w:t>2、切换至午休床状态时，桌面可升高度＞1000mm。</w:t>
            </w:r>
          </w:p>
          <w:p>
            <w:pPr>
              <w:pStyle w:val="null3"/>
              <w:jc w:val="left"/>
            </w:pPr>
            <w:r>
              <w:rPr>
                <w:rFonts w:ascii="仿宋_GB2312" w:hAnsi="仿宋_GB2312" w:cs="仿宋_GB2312" w:eastAsia="仿宋_GB2312"/>
                <w:sz w:val="18"/>
                <w:color w:val="000000"/>
              </w:rPr>
              <w:t>（二）</w:t>
            </w:r>
            <w:r>
              <w:rPr>
                <w:rFonts w:ascii="仿宋_GB2312" w:hAnsi="仿宋_GB2312" w:cs="仿宋_GB2312" w:eastAsia="仿宋_GB2312"/>
                <w:sz w:val="18"/>
                <w:color w:val="000000"/>
              </w:rPr>
              <w:t>桌面面板</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课桌面板规格：400mm*600mm*厚度18mm，材质采用多层板注塑封边，且需带笔槽位设计,槽内表面光滑无毛刺，可容纳笔具，防止滚落。要求甲醛释放量≤0.124mg/m</w:t>
            </w:r>
            <w:r>
              <w:rPr>
                <w:rFonts w:ascii="仿宋_GB2312" w:hAnsi="仿宋_GB2312" w:cs="仿宋_GB2312" w:eastAsia="仿宋_GB2312"/>
                <w:sz w:val="18"/>
                <w:color w:val="000000"/>
                <w:vertAlign w:val="superscript"/>
              </w:rPr>
              <w:t xml:space="preserve">3 </w:t>
            </w:r>
            <w:r>
              <w:rPr>
                <w:rFonts w:ascii="仿宋_GB2312" w:hAnsi="仿宋_GB2312" w:cs="仿宋_GB2312" w:eastAsia="仿宋_GB2312"/>
                <w:sz w:val="18"/>
                <w:color w:val="000000"/>
              </w:rPr>
              <w:t>；抗细菌率-鼠伤寒沙门氏菌≥99%。</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三）书斗与脚托板</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书斗尺寸：350mm*450mm*100mm，误差±3mm，采用一级PP塑料，一体注塑成型，无拼接缝；表面无裂纹、明显变形、缩水、针孔；耐抗压，耐磨冲击，不含邻苯二甲酸酯-邻苯二甲酸二丁酯(DBP)、邻苯二甲酸丁苄酯(BBP)、邻苯二甲酸二(2-乙基己基)酯(DEHP)；不含邻苯二甲酸酯-邻苯二甲酸二正辛酯(DNOP)、邻苯二甲酸二异壬酯(DINP)、邻苯二甲酸二异癸酯(DIDP)，符合环保要求。</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脚托板：设置于课桌底下前部，尺寸</w:t>
            </w:r>
            <w:r>
              <w:rPr>
                <w:rFonts w:ascii="仿宋_GB2312" w:hAnsi="仿宋_GB2312" w:cs="仿宋_GB2312" w:eastAsia="仿宋_GB2312"/>
                <w:sz w:val="18"/>
                <w:color w:val="000000"/>
              </w:rPr>
              <w:t xml:space="preserve">≥430mm*470mm，材质采用环保PE藤质材料制成，藤条规格为宽7mm±0.05mm*厚1.2mm±0.02mm。滕面边沿采用PE材料包边，尼龙线缝纫固定工艺。   </w:t>
            </w:r>
          </w:p>
          <w:p>
            <w:pPr>
              <w:pStyle w:val="null3"/>
              <w:jc w:val="left"/>
            </w:pPr>
            <w:r>
              <w:rPr>
                <w:rFonts w:ascii="仿宋_GB2312" w:hAnsi="仿宋_GB2312" w:cs="仿宋_GB2312" w:eastAsia="仿宋_GB2312"/>
                <w:sz w:val="18"/>
                <w:color w:val="000000"/>
              </w:rPr>
              <w:t>（四）</w:t>
            </w:r>
            <w:r>
              <w:rPr>
                <w:rFonts w:ascii="仿宋_GB2312" w:hAnsi="仿宋_GB2312" w:cs="仿宋_GB2312" w:eastAsia="仿宋_GB2312"/>
                <w:sz w:val="18"/>
                <w:color w:val="000000"/>
              </w:rPr>
              <w:t>桌架结构</w:t>
            </w:r>
          </w:p>
          <w:p>
            <w:pPr>
              <w:pStyle w:val="null3"/>
              <w:jc w:val="left"/>
            </w:pPr>
            <w:r>
              <w:rPr>
                <w:rFonts w:ascii="仿宋_GB2312" w:hAnsi="仿宋_GB2312" w:cs="仿宋_GB2312" w:eastAsia="仿宋_GB2312"/>
                <w:sz w:val="18"/>
                <w:color w:val="000000"/>
              </w:rPr>
              <w:t>1、桌架：a、主体桌脚架立柱外管采用30*70*1.2mm厚扁圆管。b、主体桌脚架立柱内管采用25*54*1.2mm厚扁圆管。c、主体桌脚架底管采用30*60*1.2mm厚扁圆管。</w:t>
            </w:r>
          </w:p>
          <w:p>
            <w:pPr>
              <w:pStyle w:val="null3"/>
              <w:jc w:val="left"/>
            </w:pPr>
            <w:r>
              <w:rPr>
                <w:rFonts w:ascii="仿宋_GB2312" w:hAnsi="仿宋_GB2312" w:cs="仿宋_GB2312" w:eastAsia="仿宋_GB2312"/>
                <w:sz w:val="18"/>
                <w:color w:val="000000"/>
              </w:rPr>
              <w:t>2、焊接工艺：采用焊接机器人全自动焊接，表面无焊渣、凸起，手触无刺感。</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所有的钢管材料须经过除锈、酸洗、磷化的前处理，钢管表面经过静电喷塑、高温烘干工艺处理。</w:t>
            </w:r>
            <w:r>
              <w:br/>
            </w:r>
          </w:p>
          <w:p>
            <w:pPr>
              <w:pStyle w:val="null3"/>
              <w:jc w:val="left"/>
            </w:pPr>
            <w:r>
              <w:rPr>
                <w:rFonts w:ascii="仿宋_GB2312" w:hAnsi="仿宋_GB2312" w:cs="仿宋_GB2312" w:eastAsia="仿宋_GB2312"/>
                <w:sz w:val="18"/>
                <w:color w:val="000000"/>
              </w:rPr>
              <w:t>（五）升降装置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1、采用手摇式升降机构，摇柄为塑料材质，摇柄与传动机构连接牢固。</w:t>
            </w:r>
          </w:p>
          <w:p>
            <w:pPr>
              <w:pStyle w:val="null3"/>
              <w:jc w:val="left"/>
            </w:pPr>
            <w:r>
              <w:rPr>
                <w:rFonts w:ascii="仿宋_GB2312" w:hAnsi="仿宋_GB2312" w:cs="仿宋_GB2312" w:eastAsia="仿宋_GB2312"/>
                <w:sz w:val="18"/>
                <w:color w:val="000000"/>
              </w:rPr>
              <w:t>二、</w:t>
            </w:r>
            <w:r>
              <w:rPr>
                <w:rFonts w:ascii="仿宋_GB2312" w:hAnsi="仿宋_GB2312" w:cs="仿宋_GB2312" w:eastAsia="仿宋_GB2312"/>
                <w:sz w:val="18"/>
                <w:color w:val="000000"/>
              </w:rPr>
              <w:t>课椅技术参数</w:t>
            </w:r>
            <w:r>
              <w:br/>
            </w:r>
            <w:r>
              <w:rPr>
                <w:rFonts w:ascii="仿宋_GB2312" w:hAnsi="仿宋_GB2312" w:cs="仿宋_GB2312" w:eastAsia="仿宋_GB2312"/>
                <w:sz w:val="18"/>
                <w:color w:val="000000"/>
              </w:rPr>
              <w:t>（一）整体规格</w:t>
            </w:r>
          </w:p>
          <w:p>
            <w:pPr>
              <w:pStyle w:val="null3"/>
              <w:jc w:val="left"/>
            </w:pPr>
            <w:r>
              <w:rPr>
                <w:rFonts w:ascii="仿宋_GB2312" w:hAnsi="仿宋_GB2312" w:cs="仿宋_GB2312" w:eastAsia="仿宋_GB2312"/>
                <w:sz w:val="18"/>
                <w:color w:val="000000"/>
              </w:rPr>
              <w:t>1、尺寸：</w:t>
            </w:r>
            <w:r>
              <w:rPr>
                <w:rFonts w:ascii="仿宋_GB2312" w:hAnsi="仿宋_GB2312" w:cs="仿宋_GB2312" w:eastAsia="仿宋_GB2312"/>
                <w:sz w:val="18"/>
              </w:rPr>
              <w:t>椅脚长</w:t>
            </w:r>
            <w:r>
              <w:rPr>
                <w:rFonts w:ascii="仿宋_GB2312" w:hAnsi="仿宋_GB2312" w:cs="仿宋_GB2312" w:eastAsia="仿宋_GB2312"/>
                <w:sz w:val="18"/>
              </w:rPr>
              <w:t>390mm*宽580mm*靠背高460mm，所</w:t>
            </w:r>
            <w:r>
              <w:rPr>
                <w:rFonts w:ascii="仿宋_GB2312" w:hAnsi="仿宋_GB2312" w:cs="仿宋_GB2312" w:eastAsia="仿宋_GB2312"/>
                <w:sz w:val="18"/>
                <w:color w:val="000000"/>
              </w:rPr>
              <w:t>有尺寸允许误差</w:t>
            </w:r>
            <w:r>
              <w:rPr>
                <w:rFonts w:ascii="仿宋_GB2312" w:hAnsi="仿宋_GB2312" w:cs="仿宋_GB2312" w:eastAsia="仿宋_GB2312"/>
                <w:sz w:val="18"/>
                <w:color w:val="000000"/>
              </w:rPr>
              <w:t>±5mm，椅背可调倾斜度&gt;145°。</w:t>
            </w:r>
            <w:r>
              <w:br/>
            </w:r>
          </w:p>
          <w:p>
            <w:pPr>
              <w:pStyle w:val="null3"/>
              <w:jc w:val="left"/>
            </w:pPr>
            <w:r>
              <w:rPr>
                <w:rFonts w:ascii="仿宋_GB2312" w:hAnsi="仿宋_GB2312" w:cs="仿宋_GB2312" w:eastAsia="仿宋_GB2312"/>
                <w:sz w:val="18"/>
                <w:color w:val="000000"/>
              </w:rPr>
              <w:t>（二）座面与靠背</w:t>
            </w:r>
            <w:r>
              <w:br/>
            </w:r>
            <w:r>
              <w:rPr>
                <w:rFonts w:ascii="仿宋_GB2312" w:hAnsi="仿宋_GB2312" w:cs="仿宋_GB2312" w:eastAsia="仿宋_GB2312"/>
                <w:sz w:val="18"/>
                <w:color w:val="000000"/>
              </w:rPr>
              <w:t>1、课椅座面参数：宽460mm*深380mm，座面高度可通过手摇调节，调节范围340mm-420mm（误差±5mm）。</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2、座面及座靠面料采用环保PE藤质材料制成，藤条规格为宽7mm±0.05mm*厚1.2mm±0.02mm。</w:t>
            </w:r>
          </w:p>
          <w:p>
            <w:pPr>
              <w:pStyle w:val="null3"/>
              <w:jc w:val="left"/>
            </w:pPr>
            <w:r>
              <w:rPr>
                <w:rFonts w:ascii="仿宋_GB2312" w:hAnsi="仿宋_GB2312" w:cs="仿宋_GB2312" w:eastAsia="仿宋_GB2312"/>
                <w:sz w:val="18"/>
                <w:color w:val="000000"/>
              </w:rPr>
              <w:t>3、靠背上缘连接头枕伸缩装置，午休模式时可向上拉伸180mm用来放置头枕，头枕表面采用布艺材料，内部填充密度不低于36kg/m</w:t>
            </w:r>
            <w:r>
              <w:rPr>
                <w:rFonts w:ascii="仿宋_GB2312" w:hAnsi="仿宋_GB2312" w:cs="仿宋_GB2312" w:eastAsia="仿宋_GB2312"/>
                <w:sz w:val="18"/>
                <w:color w:val="000000"/>
                <w:vertAlign w:val="superscript"/>
              </w:rPr>
              <w:t>3</w:t>
            </w:r>
            <w:r>
              <w:rPr>
                <w:rFonts w:ascii="仿宋_GB2312" w:hAnsi="仿宋_GB2312" w:cs="仿宋_GB2312" w:eastAsia="仿宋_GB2312"/>
                <w:sz w:val="18"/>
                <w:color w:val="000000"/>
              </w:rPr>
              <w:t>的海绵，头枕尺寸长</w:t>
            </w:r>
            <w:r>
              <w:rPr>
                <w:rFonts w:ascii="仿宋_GB2312" w:hAnsi="仿宋_GB2312" w:cs="仿宋_GB2312" w:eastAsia="仿宋_GB2312"/>
                <w:sz w:val="18"/>
                <w:color w:val="000000"/>
              </w:rPr>
              <w:t>190mm*宽450mm*厚50mm±5mm。头枕设置在头枕伸缩装置上，午休时作为头枕，上课时可以转为腰靠。午休结束后可以将伸缩装置缩回课椅靠背两侧的金属壁管内，而不影响后排学生的视线。</w:t>
            </w:r>
            <w:r>
              <w:br/>
            </w:r>
          </w:p>
          <w:p>
            <w:pPr>
              <w:pStyle w:val="null3"/>
              <w:jc w:val="left"/>
            </w:pPr>
            <w:r>
              <w:rPr>
                <w:rFonts w:ascii="仿宋_GB2312" w:hAnsi="仿宋_GB2312" w:cs="仿宋_GB2312" w:eastAsia="仿宋_GB2312"/>
                <w:sz w:val="18"/>
                <w:color w:val="000000"/>
              </w:rPr>
              <w:t>4、边缘与加强结构：藤面边沿采用PE材料包边，尼龙线缝纫固定工艺。课椅座面前部背面设置宽60mm的丙纶丝编织加强带，增强课椅座面的承受力。</w:t>
            </w:r>
          </w:p>
          <w:p>
            <w:pPr>
              <w:pStyle w:val="null3"/>
              <w:jc w:val="left"/>
            </w:pPr>
            <w:r>
              <w:br/>
            </w:r>
            <w:r>
              <w:rPr>
                <w:rFonts w:ascii="仿宋_GB2312" w:hAnsi="仿宋_GB2312" w:cs="仿宋_GB2312" w:eastAsia="仿宋_GB2312"/>
                <w:sz w:val="18"/>
                <w:color w:val="000000"/>
              </w:rPr>
              <w:t>（三）安全与辅助结构</w:t>
            </w:r>
            <w:r>
              <w:br/>
            </w:r>
            <w:r>
              <w:rPr>
                <w:rFonts w:ascii="仿宋_GB2312" w:hAnsi="仿宋_GB2312" w:cs="仿宋_GB2312" w:eastAsia="仿宋_GB2312"/>
                <w:sz w:val="18"/>
                <w:color w:val="000000"/>
              </w:rPr>
              <w:t>1、扶手设计：课椅两侧需配备可调节椅背角度的扶手，增加午休的舒适性和安全性。</w:t>
            </w:r>
            <w:r>
              <w:br/>
            </w:r>
            <w:r>
              <w:br/>
            </w:r>
            <w:r>
              <w:rPr>
                <w:rFonts w:ascii="仿宋_GB2312" w:hAnsi="仿宋_GB2312" w:cs="仿宋_GB2312" w:eastAsia="仿宋_GB2312"/>
                <w:sz w:val="18"/>
                <w:color w:val="000000"/>
              </w:rPr>
              <w:t>2、椅脚内侧后部连接延伸稳定脚，材质与椅脚管材一致，不占教室前后空间，可使午休躺睡时更加安全稳固。</w:t>
            </w:r>
            <w:r>
              <w:br/>
            </w:r>
          </w:p>
          <w:p>
            <w:pPr>
              <w:pStyle w:val="null3"/>
              <w:jc w:val="left"/>
            </w:pPr>
            <w:r>
              <w:rPr>
                <w:rFonts w:ascii="仿宋_GB2312" w:hAnsi="仿宋_GB2312" w:cs="仿宋_GB2312" w:eastAsia="仿宋_GB2312"/>
                <w:sz w:val="18"/>
                <w:color w:val="000000"/>
              </w:rPr>
              <w:t>（四）</w:t>
            </w:r>
            <w:r>
              <w:rPr>
                <w:rFonts w:ascii="仿宋_GB2312" w:hAnsi="仿宋_GB2312" w:cs="仿宋_GB2312" w:eastAsia="仿宋_GB2312"/>
                <w:sz w:val="18"/>
                <w:color w:val="000000"/>
              </w:rPr>
              <w:t>贮物箱</w:t>
            </w:r>
          </w:p>
          <w:p>
            <w:pPr>
              <w:pStyle w:val="null3"/>
              <w:jc w:val="left"/>
            </w:pPr>
            <w:r>
              <w:rPr>
                <w:rFonts w:ascii="仿宋_GB2312" w:hAnsi="仿宋_GB2312" w:cs="仿宋_GB2312" w:eastAsia="仿宋_GB2312"/>
                <w:sz w:val="18"/>
                <w:color w:val="000000"/>
              </w:rPr>
              <w:t>1、规格与材质：采用PP塑料一体注塑成型，尺寸460mm*330mm*140mm，误差±5mm，表面光滑无毛刺；</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2、贮物箱底下前部设置双滑轮，后部设置滑块。</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滑轨配合：课椅下安装</w:t>
            </w:r>
            <w:r>
              <w:rPr>
                <w:rFonts w:ascii="仿宋_GB2312" w:hAnsi="仿宋_GB2312" w:cs="仿宋_GB2312" w:eastAsia="仿宋_GB2312"/>
                <w:sz w:val="18"/>
                <w:color w:val="000000"/>
              </w:rPr>
              <w:t>ABS材质双滑轨，滑轨配备卡位装置，贮物箱与滑轨配合滑动顺畅，且贮物箱可完全脱卸，便于清洁。</w:t>
            </w:r>
          </w:p>
          <w:p>
            <w:pPr>
              <w:pStyle w:val="null3"/>
              <w:jc w:val="left"/>
            </w:pPr>
            <w:r>
              <w:br/>
            </w:r>
            <w:r>
              <w:rPr>
                <w:rFonts w:ascii="仿宋_GB2312" w:hAnsi="仿宋_GB2312" w:cs="仿宋_GB2312" w:eastAsia="仿宋_GB2312"/>
                <w:sz w:val="18"/>
                <w:color w:val="000000"/>
              </w:rPr>
              <w:t>（五）</w:t>
            </w:r>
            <w:r>
              <w:rPr>
                <w:rFonts w:ascii="仿宋_GB2312" w:hAnsi="仿宋_GB2312" w:cs="仿宋_GB2312" w:eastAsia="仿宋_GB2312"/>
                <w:sz w:val="18"/>
                <w:color w:val="000000"/>
              </w:rPr>
              <w:t>椅脚架与升降装置</w:t>
            </w:r>
          </w:p>
          <w:p>
            <w:pPr>
              <w:pStyle w:val="null3"/>
              <w:jc w:val="left"/>
            </w:pPr>
            <w:r>
              <w:rPr>
                <w:rFonts w:ascii="仿宋_GB2312" w:hAnsi="仿宋_GB2312" w:cs="仿宋_GB2312" w:eastAsia="仿宋_GB2312"/>
                <w:sz w:val="18"/>
                <w:color w:val="000000"/>
              </w:rPr>
              <w:t>1、椅脚架参数：</w:t>
            </w:r>
          </w:p>
          <w:p>
            <w:pPr>
              <w:pStyle w:val="null3"/>
              <w:jc w:val="left"/>
            </w:pPr>
            <w:r>
              <w:rPr>
                <w:rFonts w:ascii="仿宋_GB2312" w:hAnsi="仿宋_GB2312" w:cs="仿宋_GB2312" w:eastAsia="仿宋_GB2312"/>
                <w:sz w:val="18"/>
                <w:color w:val="000000"/>
              </w:rPr>
              <w:t>a、主体椅脚架立柱外管采用30*70*1.2mm厚扁圆管。b、主体椅脚架立柱内管采用25*54*1.2mm厚扁圆管。c、主体椅脚架底管采用30*60*1.2mm厚扁圆管。焊接与表面处理工艺同课桌桌架一致。</w:t>
            </w:r>
          </w:p>
          <w:p>
            <w:pPr>
              <w:pStyle w:val="null3"/>
              <w:jc w:val="left"/>
            </w:pPr>
            <w:r>
              <w:rPr>
                <w:rFonts w:ascii="仿宋_GB2312" w:hAnsi="仿宋_GB2312" w:cs="仿宋_GB2312" w:eastAsia="仿宋_GB2312"/>
                <w:sz w:val="18"/>
                <w:color w:val="000000"/>
              </w:rPr>
              <w:t>2、升降装置：与课桌升降一致，采用手摇式升降机构，摇柄为塑料材质，摇柄与传动机构连接牢固。</w:t>
            </w:r>
          </w:p>
          <w:p>
            <w:pPr>
              <w:pStyle w:val="null3"/>
              <w:jc w:val="both"/>
            </w:pPr>
            <w:r>
              <w:br/>
            </w:r>
            <w:r>
              <w:rPr>
                <w:rFonts w:ascii="仿宋_GB2312" w:hAnsi="仿宋_GB2312" w:cs="仿宋_GB2312" w:eastAsia="仿宋_GB2312"/>
                <w:sz w:val="18"/>
                <w:color w:val="000000"/>
              </w:rPr>
              <w:t>三、午休模式联动要求</w:t>
            </w:r>
            <w:r>
              <w:br/>
            </w:r>
            <w:r>
              <w:rPr>
                <w:rFonts w:ascii="仿宋_GB2312" w:hAnsi="仿宋_GB2312" w:cs="仿宋_GB2312" w:eastAsia="仿宋_GB2312"/>
                <w:sz w:val="18"/>
                <w:color w:val="000000"/>
              </w:rPr>
              <w:t>切换模式：桌面往上升高，靠背后仰与桌下脚托板组成午休躺椅。</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以上参数带</w:t>
            </w:r>
            <w:r>
              <w:rPr>
                <w:rFonts w:ascii="仿宋_GB2312" w:hAnsi="仿宋_GB2312" w:cs="仿宋_GB2312" w:eastAsia="仿宋_GB2312"/>
                <w:sz w:val="18"/>
                <w:color w:val="000000"/>
              </w:rPr>
              <w:t>“★”符号项，产品的规格尺寸、材质、结构和工艺必须符合竞争性谈判文件要求，如果有一项不符合，则按无效响应文件处理。</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其中参数带</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”符号项，项目成交结果公示后三天内成交供应商需提供由第三方出具的检测报告复印件核查(需由制造商加盖公章)。</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color w:val="000000"/>
              </w:rPr>
              <w:t>保证所供货物的设计、制造、产品性能、材料的选择和材料的检验及产品的测试等，均应按国内外通行的现行标准相应的技术规范，以及质量、安全、环保标准和要求执行，这些标准和技术规范应为合同签订日为止最新公布发行的标准和技术规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自合同签订后5个日历日完成供货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供货完成并经采购人验收合格后7个工作日内支付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达到合格，采购人验收合格后一年(质保期起始时间为终验合格之日)。所有产品质量必须符合国家有关规范和相关政策。所有设备及辅材必须是未使用过的新产品，质量优良、渠道正当，配置合理。 质保期出现的质量问题由成交供应商负责解决并承担所有费用。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 免费保修内容： 结构性缺陷（如焊接开裂、框架变形）。 材质问题（如涂层剥落、木材开裂）。 功能故障（如升降失灵、螺丝松动）。 保修期：2年（从验收合格之日起算）。 保修期内提供免费上门维修或更换，响应时间≤48小时。</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双方自行约定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（1）在发货前，乙方应对货物的质量、规格、数量等进行准确而全面的检验，并出具产品生产产地证明材料（加盖公章）。 （2）甲方将在供货单位交货现场组织验收，如果货物达不到国家的质量及企业标准或与投标时封存样品不符，甲方有权拒绝接收。 （3）本项目在开标前各供应商应将纸质版（一正二副）投标文件及电子版U盘1个送达至代理机构（西安市雁塔区曲江新区雁翔路3269号旺座曲江E座30层第二会议室）。 （4）根据陕西省财政厅关于启用会计师事务所审计报告“二维码”赋码查验功能的通知（陕财办会函〔2022〕55号），供应商提交的2024年度经审计的完整财务报告中，需附带具备查验功能的二维码。 （5）网上引用图片时，需标注来源出处如网址等。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供应商具有合格有效的企业法人营业执照、税务登记证、组织机构代码证（或三证合一营业执照 )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供应商应授权合法的人员参加谈判全过程，其中法定代表人直接参加谈判的，须出具法人身份证，并与营业执照上信息一致 。法定代表人授权代表参加谈判的，须出具法定代表人授权书及授权代表身份证。非法人单位参照执行。供应商需在项目电子化交易系统中按要求上传相应证明文件并进行电子签章。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提供谈判前六个月至今已缴纳任意一个月完税凭证或税务机关开具的完税证明（营业税、企业所得税 、增值税任意一种即可）；依法免税的应提供相关文件证明供应商需在项目电子化交易系统中按要求上传相应证明文件并 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提供谈判前六个月至今已缴存 的任意一个月的社会保障资金缴存证明或社保机构开具的社会 保险参保缴费情况证明；依法不需要缴纳社会保障资金的应提 供相关文件证明；供应商需在项目电子化交易系统中按要求上 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提供2024年经审计的财务报告，或谈判前三个月内开户银行开具的资信证明或政府采购信用担保机构出具的谈判担保函;供应商需在项目电子化交易系统中按要求上传相应证明文件并进行电子签章。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控股、管理关系的不同单位</w:t>
            </w:r>
          </w:p>
        </w:tc>
        <w:tc>
          <w:tcPr>
            <w:tcW w:type="dxa" w:w="3322"/>
          </w:tcPr>
          <w:p>
            <w:pPr>
              <w:pStyle w:val="null3"/>
            </w:pPr>
            <w:r>
              <w:rPr>
                <w:rFonts w:ascii="仿宋_GB2312" w:hAnsi="仿宋_GB2312" w:cs="仿宋_GB2312" w:eastAsia="仿宋_GB2312"/>
              </w:rPr>
              <w:t>供应商负责人为同一人或者存在控股、管理关系的不同单位， 不得参加同一项目的投标。供应商需在项目电子化交易系统中按要求上传相应证明文件并进行电子签章。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出具参加本次政府采购活动前三年内在经营活动中没有重大违法记录的书面声明；供应商需在项目电子化交易系统中按要求 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提供具有履行本合同所必需的设备和专业技术能力的说明或承诺；供应商需在项目电子化交易系统中按要求上传相应证明文件并进行电子签章。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 xml:space="preserve"> 信誉截图</w:t>
            </w:r>
          </w:p>
        </w:tc>
        <w:tc>
          <w:tcPr>
            <w:tcW w:type="dxa" w:w="3322"/>
          </w:tcPr>
          <w:p>
            <w:pPr>
              <w:pStyle w:val="null3"/>
            </w:pPr>
            <w:r>
              <w:rPr>
                <w:rFonts w:ascii="仿宋_GB2312" w:hAnsi="仿宋_GB2312" w:cs="仿宋_GB2312" w:eastAsia="仿宋_GB2312"/>
              </w:rPr>
              <w:t>供应商不得为“信用中国” 网站（www.creditchina.gov.cn）（中国执行信息公开网）中列入失 信被执行人和重大税收违法 失信主体名单的供应商，不得为中国政府采购网（www.ccgp .gov.cn）政府采购严重违法失信行为记录名单中被财政部门禁止参加政府采购活动的供应商；供应商需在项目电子化交易系统中按要求上传相应证明文件并进行电子签章。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提供中小企业声明函，监狱企业和残疾人福利性单位视同小微企业；</w:t>
            </w:r>
          </w:p>
        </w:tc>
        <w:tc>
          <w:tcPr>
            <w:tcW w:type="dxa" w:w="1661"/>
          </w:tcPr>
          <w:p>
            <w:pPr>
              <w:pStyle w:val="null3"/>
            </w:pPr>
            <w:r>
              <w:rPr>
                <w:rFonts w:ascii="仿宋_GB2312" w:hAnsi="仿宋_GB2312" w:cs="仿宋_GB2312" w:eastAsia="仿宋_GB2312"/>
              </w:rPr>
              <w:t>中小企业声明函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★号的技术参数</w:t>
            </w:r>
          </w:p>
        </w:tc>
        <w:tc>
          <w:tcPr>
            <w:tcW w:type="dxa" w:w="3322"/>
          </w:tcPr>
          <w:p>
            <w:pPr>
              <w:pStyle w:val="null3"/>
            </w:pPr>
            <w:r>
              <w:rPr>
                <w:rFonts w:ascii="仿宋_GB2312" w:hAnsi="仿宋_GB2312" w:cs="仿宋_GB2312" w:eastAsia="仿宋_GB2312"/>
              </w:rPr>
              <w:t>带有★号的技术参数为实质性条款，不得有负偏离</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对谈判文件需求响应内容齐全、无遗漏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要求实质性条款全部响应，如标▲项；</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响应文件封面 商务应答表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响应文件封面 商务应答表 报价表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商务应答表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