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版本号：SXTR-ZB-202509005-220251014001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丈八北路储备地文勘清表(二次)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SXTR-ZB-202509005-2</w:t>
      </w:r>
      <w:r>
        <w:br/>
      </w:r>
      <w:r>
        <w:br/>
      </w:r>
      <w:r>
        <w:br/>
      </w:r>
    </w:p>
    <w:p>
      <w:pPr>
        <w:pStyle w:val="null3"/>
        <w:jc w:val="center"/>
        <w:outlineLvl w:val="2"/>
      </w:pPr>
      <w:r>
        <w:rPr>
          <w:rFonts w:ascii="仿宋_GB2312" w:hAnsi="仿宋_GB2312" w:cs="仿宋_GB2312" w:eastAsia="仿宋_GB2312"/>
          <w:sz w:val="28"/>
          <w:b/>
        </w:rPr>
        <w:t>西安市自然资源和规划局莲湖分局</w:t>
      </w:r>
    </w:p>
    <w:p>
      <w:pPr>
        <w:pStyle w:val="null3"/>
        <w:jc w:val="center"/>
        <w:outlineLvl w:val="2"/>
      </w:pPr>
      <w:r>
        <w:rPr>
          <w:rFonts w:ascii="仿宋_GB2312" w:hAnsi="仿宋_GB2312" w:cs="仿宋_GB2312" w:eastAsia="仿宋_GB2312"/>
          <w:sz w:val="28"/>
          <w:b/>
        </w:rPr>
        <w:t>陕西同睿建设项目管理有限公司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陕西同睿建设项目管理有限公司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西安市自然资源和规划局莲湖分局</w:t>
      </w:r>
      <w:r>
        <w:rPr>
          <w:rFonts w:ascii="仿宋_GB2312" w:hAnsi="仿宋_GB2312" w:cs="仿宋_GB2312" w:eastAsia="仿宋_GB2312"/>
        </w:rPr>
        <w:t>委托，拟对</w:t>
      </w:r>
      <w:r>
        <w:rPr>
          <w:rFonts w:ascii="仿宋_GB2312" w:hAnsi="仿宋_GB2312" w:cs="仿宋_GB2312" w:eastAsia="仿宋_GB2312"/>
        </w:rPr>
        <w:t>丈八北路储备地文勘清表(二次)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SXTR-ZB-202509005-2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丈八北路储备地文勘清表(二次)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丈八路土地储备项目总用地规模约83.878亩，原规划净用地62.021亩，代征绿地15.807亩，代征道路6.05亩。现项目范围内约16亩代征路和代征绿地拟调整为净用地，需要进行文物勘探（发掘）工作。 为保障土地供应顺利进行，按照市土地储备交易中心和区政府要求，分局拟依文勘要求进行储备地垃圾土堆（约8万方）内倒事项，文物勘探（发掘）结束后进行场地平整。本次采购文勘清表及场地平整事项。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采购包1（丈八路储备地文勘清表）：属于专门面向中小企业采购。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投标截止日前三个月内基本存款账户开户银行出具的资信证明（附开户许可证或开户证明）；（注：各供应商财务状况审计报告需赋加二维码，并附财务状况审计报告扫码截图）；</w:t>
      </w:r>
    </w:p>
    <w:p>
      <w:pPr>
        <w:pStyle w:val="null3"/>
      </w:pPr>
      <w:r>
        <w:rPr>
          <w:rFonts w:ascii="仿宋_GB2312" w:hAnsi="仿宋_GB2312" w:cs="仿宋_GB2312" w:eastAsia="仿宋_GB2312"/>
        </w:rPr>
        <w:t>3、税收缴纳证明：提供开标前6个月至今已缴纳的至少一个月的纳税凭证或完税证明（任意税种），完税证明上应有代收机构或税务机关的公章；依法免税的供应商应提供相关文件证明；</w:t>
      </w:r>
    </w:p>
    <w:p>
      <w:pPr>
        <w:pStyle w:val="null3"/>
      </w:pPr>
      <w:r>
        <w:rPr>
          <w:rFonts w:ascii="仿宋_GB2312" w:hAnsi="仿宋_GB2312" w:cs="仿宋_GB2312" w:eastAsia="仿宋_GB2312"/>
        </w:rPr>
        <w:t>4、社会保障资金缴纳证明：提供开标前6个月至今已缴存的至少一个月的社会保障资金缴存单据或社保机构开具的社会保险参保缴费情况证明；依法不需要缴纳社会保障资金的供应商应提供相关文件证明；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5、无重大违法记录声明：参加政府采购活动前3年内，在经营活动中没有重大违法记录</w:t>
      </w:r>
    </w:p>
    <w:p>
      <w:pPr>
        <w:pStyle w:val="null3"/>
      </w:pPr>
      <w:r>
        <w:rPr>
          <w:rFonts w:ascii="仿宋_GB2312" w:hAnsi="仿宋_GB2312" w:cs="仿宋_GB2312" w:eastAsia="仿宋_GB2312"/>
        </w:rPr>
        <w:t>6、供应商信誉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7、供应商履约能力：供应商具备履行合同所必需的设备和专业技术能力；</w:t>
      </w:r>
    </w:p>
    <w:p>
      <w:pPr>
        <w:pStyle w:val="null3"/>
      </w:pPr>
      <w:r>
        <w:rPr>
          <w:rFonts w:ascii="仿宋_GB2312" w:hAnsi="仿宋_GB2312" w:cs="仿宋_GB2312" w:eastAsia="仿宋_GB2312"/>
        </w:rPr>
        <w:t>8、供应商资质要求：（1）具有建筑工程施工总承包三级及以上资质，并具有有效的安全生产许可证； （2）项目经理须具备建筑工程专业二级及以上建造师资格,具有有效的安全生产考核合格证书（建安B证），且未担任其他在建工程项目的项目经理（格式自拟）；</w:t>
      </w:r>
    </w:p>
    <w:p>
      <w:pPr>
        <w:pStyle w:val="null3"/>
      </w:pPr>
      <w:r>
        <w:rPr>
          <w:rFonts w:ascii="仿宋_GB2312" w:hAnsi="仿宋_GB2312" w:cs="仿宋_GB2312" w:eastAsia="仿宋_GB2312"/>
        </w:rPr>
        <w:t>9、授权书：法定代表人直接参加磋商的，须出具法定代表人身份证明。授权代表参加投标的，须出具法定代表人授权书，并附法定代表人和被授权人身份证复印件、被授权人社保缴纳证明；</w:t>
      </w:r>
    </w:p>
    <w:p>
      <w:pPr>
        <w:pStyle w:val="null3"/>
      </w:pPr>
      <w:r>
        <w:rPr>
          <w:rFonts w:ascii="仿宋_GB2312" w:hAnsi="仿宋_GB2312" w:cs="仿宋_GB2312" w:eastAsia="仿宋_GB2312"/>
        </w:rPr>
        <w:t>10、联合体：本项目不接受联合体磋商。</w:t>
      </w:r>
    </w:p>
    <w:p>
      <w:pPr>
        <w:pStyle w:val="null3"/>
      </w:pPr>
      <w:r>
        <w:rPr>
          <w:rFonts w:ascii="仿宋_GB2312" w:hAnsi="仿宋_GB2312" w:cs="仿宋_GB2312" w:eastAsia="仿宋_GB2312"/>
        </w:rPr>
        <w:t>11、控股、管理关系：单位负责人为同一人或者存在直接控股、管理关系的不同供应商不得参加统一合同项下的政府采购活动；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西安市自然资源和规划局莲湖分局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西安市莲湖区团结东路243号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029-88643060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陕西同睿建设项目管理有限公司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陕西省西安市浐灞生态区金桥三路418号前海人寿金融中心1幢第1702室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吴佩佩、刘畅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17782766213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采购包1：597,226.59元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由采购人与采购代理机构约定，参照原国家计委计价格【2002】1980号文和国家发改委发改办价格【2003】857号文的计算方法计取，不足6000元按6000元收取。 银行账户：陕西同睿建设项目管理有限公司 账 号：102075273728 开 户 行：中国银行股份有限公司西安长乐路支行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西安市自然资源和规划局莲湖分局</w:t>
      </w:r>
      <w:r>
        <w:rPr>
          <w:rFonts w:ascii="仿宋_GB2312" w:hAnsi="仿宋_GB2312" w:cs="仿宋_GB2312" w:eastAsia="仿宋_GB2312"/>
        </w:rPr>
        <w:t>和</w:t>
      </w:r>
      <w:r>
        <w:rPr>
          <w:rFonts w:ascii="仿宋_GB2312" w:hAnsi="仿宋_GB2312" w:cs="仿宋_GB2312" w:eastAsia="仿宋_GB2312"/>
        </w:rPr>
        <w:t>陕西同睿建设项目管理有限公司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西安市自然资源和规划局莲湖分局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陕西同睿建设项目管理有限公司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西安市自然资源和规划局莲湖分局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陕西同睿建设项目管理有限公司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执行中华人民共和国规划设计行业现行标准、规定、规程及规范，符合行业和地方通用标准和惯例要求。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西安市自然资源和规划局莲湖分局</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陕西同睿建设项目管理有限公司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陕西同睿建设项目管理有限公司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联系人：吴佩佩、刘畅</w:t>
      </w:r>
    </w:p>
    <w:p>
      <w:pPr>
        <w:pStyle w:val="null3"/>
      </w:pPr>
      <w:r>
        <w:rPr>
          <w:rFonts w:ascii="仿宋_GB2312" w:hAnsi="仿宋_GB2312" w:cs="仿宋_GB2312" w:eastAsia="仿宋_GB2312"/>
        </w:rPr>
        <w:t>联系电话：17782766213</w:t>
      </w:r>
    </w:p>
    <w:p>
      <w:pPr>
        <w:pStyle w:val="null3"/>
      </w:pPr>
      <w:r>
        <w:rPr>
          <w:rFonts w:ascii="仿宋_GB2312" w:hAnsi="仿宋_GB2312" w:cs="仿宋_GB2312" w:eastAsia="仿宋_GB2312"/>
        </w:rPr>
        <w:t>地址：陕西省西安市浐灞生态区金桥三路418号前海人寿金融中心1幢第1702室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597,226.59</w:t>
      </w:r>
    </w:p>
    <w:p>
      <w:pPr>
        <w:pStyle w:val="null3"/>
      </w:pPr>
      <w:r>
        <w:rPr>
          <w:rFonts w:ascii="仿宋_GB2312" w:hAnsi="仿宋_GB2312" w:cs="仿宋_GB2312" w:eastAsia="仿宋_GB2312"/>
        </w:rPr>
        <w:t>采购包最高限价（元）: 486,301.16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丈八北路储备地文勘清表</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597,226.59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标的名称：丈八北路储备地文勘清表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FF"/>
              </w:rPr>
              <w:t>一、项目概况</w:t>
            </w:r>
          </w:p>
          <w:p>
            <w:pPr>
              <w:pStyle w:val="null3"/>
              <w:jc w:val="both"/>
            </w:pPr>
            <w:r>
              <w:rPr>
                <w:rFonts w:ascii="仿宋_GB2312" w:hAnsi="仿宋_GB2312" w:cs="仿宋_GB2312" w:eastAsia="仿宋_GB2312"/>
                <w:sz w:val="20"/>
                <w:color w:val="0000FF"/>
              </w:rPr>
              <w:t>1、丈八路土地储备项目总用地规模约83.878亩，原规划净用地62.021亩，代征绿地15.807亩，代征道路6.05亩。现项目范围内约16亩代征路和代征绿地拟调整为净用地，需要进行文物勘探发掘工作。</w:t>
            </w:r>
          </w:p>
          <w:p>
            <w:pPr>
              <w:pStyle w:val="null3"/>
              <w:jc w:val="both"/>
            </w:pPr>
            <w:r>
              <w:rPr>
                <w:rFonts w:ascii="仿宋_GB2312" w:hAnsi="仿宋_GB2312" w:cs="仿宋_GB2312" w:eastAsia="仿宋_GB2312"/>
                <w:sz w:val="20"/>
                <w:color w:val="0000FF"/>
              </w:rPr>
              <w:t>为保障土地供应顺利进行，按照市土地储备交易中心和区政府要求，分局拟依文物勘探要求进行储备地垃圾土堆内倒事项，文物勘探发掘结束后进行场地平整。本次采购文勘清表及场地平整事项。</w:t>
            </w:r>
          </w:p>
          <w:p>
            <w:pPr>
              <w:pStyle w:val="null3"/>
              <w:jc w:val="both"/>
            </w:pPr>
            <w:r>
              <w:rPr>
                <w:rFonts w:ascii="仿宋_GB2312" w:hAnsi="仿宋_GB2312" w:cs="仿宋_GB2312" w:eastAsia="仿宋_GB2312"/>
                <w:sz w:val="20"/>
                <w:color w:val="0000FF"/>
              </w:rPr>
              <w:t>二、服务内容</w:t>
            </w:r>
          </w:p>
          <w:p>
            <w:pPr>
              <w:pStyle w:val="null3"/>
              <w:jc w:val="both"/>
            </w:pPr>
            <w:r>
              <w:rPr>
                <w:rFonts w:ascii="仿宋_GB2312" w:hAnsi="仿宋_GB2312" w:cs="仿宋_GB2312" w:eastAsia="仿宋_GB2312"/>
                <w:sz w:val="20"/>
                <w:color w:val="0000FF"/>
              </w:rPr>
              <w:t>项目地址是丈八北路以西、科技西路以北、西安日化厂以南丈八路储备地范围内。</w:t>
            </w:r>
          </w:p>
          <w:p>
            <w:pPr>
              <w:pStyle w:val="null3"/>
              <w:jc w:val="both"/>
            </w:pPr>
            <w:r>
              <w:rPr>
                <w:rFonts w:ascii="仿宋_GB2312" w:hAnsi="仿宋_GB2312" w:cs="仿宋_GB2312" w:eastAsia="仿宋_GB2312"/>
                <w:sz w:val="20"/>
                <w:color w:val="0000FF"/>
              </w:rPr>
              <w:t>1、配合文勘进行垃圾土堆清表；</w:t>
            </w:r>
          </w:p>
          <w:p>
            <w:pPr>
              <w:pStyle w:val="null3"/>
              <w:jc w:val="both"/>
            </w:pPr>
            <w:r>
              <w:rPr>
                <w:rFonts w:ascii="仿宋_GB2312" w:hAnsi="仿宋_GB2312" w:cs="仿宋_GB2312" w:eastAsia="仿宋_GB2312"/>
                <w:sz w:val="20"/>
                <w:color w:val="0000FF"/>
              </w:rPr>
              <w:t>2、完成储备地块的场地平整，达到储备地块移交标准。</w:t>
            </w:r>
          </w:p>
          <w:p>
            <w:pPr>
              <w:pStyle w:val="null3"/>
              <w:jc w:val="both"/>
            </w:pPr>
            <w:r>
              <w:rPr>
                <w:rFonts w:ascii="仿宋_GB2312" w:hAnsi="仿宋_GB2312" w:cs="仿宋_GB2312" w:eastAsia="仿宋_GB2312"/>
                <w:sz w:val="20"/>
                <w:color w:val="0000FF"/>
              </w:rPr>
              <w:t>三、技术要求</w:t>
            </w:r>
          </w:p>
          <w:p>
            <w:pPr>
              <w:pStyle w:val="null3"/>
              <w:jc w:val="left"/>
            </w:pPr>
            <w:r>
              <w:rPr>
                <w:rFonts w:ascii="仿宋_GB2312" w:hAnsi="仿宋_GB2312" w:cs="仿宋_GB2312" w:eastAsia="仿宋_GB2312"/>
                <w:sz w:val="20"/>
                <w:color w:val="0000FF"/>
              </w:rPr>
              <w:t>严格依据国家、陕西省、西安市相关标准和规范、技术规定和政策性文件、相关法定规划文件等进行。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FF"/>
              </w:rPr>
              <w:t>四、服务要求</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1）听从采购人指导，服从采购人管理，按照采购人要求进行施工，否则，采购人有权对其进行处罚，并解除合同。</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2）在施工过程，所有安全事故由供应商负责，采购人不予承担因此产生的任何经济责任和法律责任。</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3）按期完成工程施工，不得借故和采取其他任何方式拖延工期。</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）按采购人要求，配合上级领导对该项目的检查督导工作。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color w:val="0000FF"/>
              </w:rPr>
              <w:t>五、</w:t>
            </w:r>
            <w:r>
              <w:rPr>
                <w:rFonts w:ascii="仿宋_GB2312" w:hAnsi="仿宋_GB2312" w:cs="仿宋_GB2312" w:eastAsia="仿宋_GB2312"/>
                <w:sz w:val="20"/>
                <w:color w:val="0000FF"/>
              </w:rPr>
              <w:t>商务要求</w:t>
            </w:r>
          </w:p>
          <w:p>
            <w:pPr>
              <w:pStyle w:val="null3"/>
              <w:jc w:val="both"/>
            </w:pPr>
            <w:r>
              <w:rPr>
                <w:rFonts w:ascii="仿宋_GB2312" w:hAnsi="仿宋_GB2312" w:cs="仿宋_GB2312" w:eastAsia="仿宋_GB2312"/>
                <w:sz w:val="20"/>
                <w:color w:val="0000FF"/>
              </w:rPr>
              <w:t>（一）服务期限</w:t>
            </w:r>
          </w:p>
          <w:p>
            <w:pPr>
              <w:pStyle w:val="null3"/>
              <w:jc w:val="both"/>
            </w:pPr>
            <w:r>
              <w:rPr>
                <w:rFonts w:ascii="仿宋_GB2312" w:hAnsi="仿宋_GB2312" w:cs="仿宋_GB2312" w:eastAsia="仿宋_GB2312"/>
                <w:sz w:val="20"/>
                <w:color w:val="0000FF"/>
              </w:rPr>
              <w:t>自合同签订之日起</w:t>
            </w:r>
            <w:r>
              <w:rPr>
                <w:rFonts w:ascii="仿宋_GB2312" w:hAnsi="仿宋_GB2312" w:cs="仿宋_GB2312" w:eastAsia="仿宋_GB2312"/>
                <w:sz w:val="20"/>
                <w:color w:val="0000FF"/>
              </w:rPr>
              <w:t>15天内完成文勘地块清表；</w:t>
            </w:r>
            <w:r>
              <w:rPr>
                <w:rFonts w:ascii="仿宋_GB2312" w:hAnsi="仿宋_GB2312" w:cs="仿宋_GB2312" w:eastAsia="仿宋_GB2312"/>
                <w:sz w:val="20"/>
                <w:color w:val="0000FF"/>
              </w:rPr>
              <w:t>文勘（发掘）完成后</w:t>
            </w:r>
            <w:r>
              <w:rPr>
                <w:rFonts w:ascii="仿宋_GB2312" w:hAnsi="仿宋_GB2312" w:cs="仿宋_GB2312" w:eastAsia="仿宋_GB2312"/>
                <w:sz w:val="20"/>
                <w:color w:val="0000FF"/>
              </w:rPr>
              <w:t>5</w:t>
            </w:r>
            <w:r>
              <w:rPr>
                <w:rFonts w:ascii="仿宋_GB2312" w:hAnsi="仿宋_GB2312" w:cs="仿宋_GB2312" w:eastAsia="仿宋_GB2312"/>
                <w:sz w:val="20"/>
                <w:color w:val="0000FF"/>
              </w:rPr>
              <w:t>天内完成场地平整工作</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（二）款项结算</w:t>
            </w:r>
          </w:p>
          <w:p>
            <w:pPr>
              <w:pStyle w:val="null3"/>
              <w:jc w:val="left"/>
            </w:pPr>
            <w:r>
              <w:rPr>
                <w:rFonts w:ascii="仿宋_GB2312" w:hAnsi="仿宋_GB2312" w:cs="仿宋_GB2312" w:eastAsia="仿宋_GB2312"/>
                <w:sz w:val="20"/>
                <w:color w:val="0000FF"/>
              </w:rPr>
              <w:t>合同签订后</w:t>
            </w:r>
            <w:r>
              <w:rPr>
                <w:rFonts w:ascii="仿宋_GB2312" w:hAnsi="仿宋_GB2312" w:cs="仿宋_GB2312" w:eastAsia="仿宋_GB2312"/>
                <w:sz w:val="20"/>
                <w:color w:val="0000FF"/>
              </w:rPr>
              <w:t>10</w:t>
            </w:r>
            <w:r>
              <w:rPr>
                <w:rFonts w:ascii="仿宋_GB2312" w:hAnsi="仿宋_GB2312" w:cs="仿宋_GB2312" w:eastAsia="仿宋_GB2312"/>
                <w:sz w:val="20"/>
                <w:color w:val="0000FF"/>
              </w:rPr>
              <w:t>个工作日内支付合同总价款的</w:t>
            </w:r>
            <w:r>
              <w:rPr>
                <w:rFonts w:ascii="仿宋_GB2312" w:hAnsi="仿宋_GB2312" w:cs="仿宋_GB2312" w:eastAsia="仿宋_GB2312"/>
                <w:sz w:val="20"/>
                <w:color w:val="0000FF"/>
              </w:rPr>
              <w:t>40%</w:t>
            </w:r>
            <w:r>
              <w:rPr>
                <w:rFonts w:ascii="仿宋_GB2312" w:hAnsi="仿宋_GB2312" w:cs="仿宋_GB2312" w:eastAsia="仿宋_GB2312"/>
                <w:sz w:val="20"/>
                <w:color w:val="0000FF"/>
              </w:rPr>
              <w:t>；</w:t>
            </w:r>
            <w:r>
              <w:rPr>
                <w:rFonts w:ascii="仿宋_GB2312" w:hAnsi="仿宋_GB2312" w:cs="仿宋_GB2312" w:eastAsia="仿宋_GB2312"/>
                <w:sz w:val="20"/>
                <w:color w:val="0000FF"/>
              </w:rPr>
              <w:t>项目实施一阶段完成</w:t>
            </w:r>
            <w:r>
              <w:rPr>
                <w:rFonts w:ascii="仿宋_GB2312" w:hAnsi="仿宋_GB2312" w:cs="仿宋_GB2312" w:eastAsia="仿宋_GB2312"/>
                <w:sz w:val="20"/>
                <w:color w:val="0000FF"/>
              </w:rPr>
              <w:t>后</w:t>
            </w:r>
            <w:r>
              <w:rPr>
                <w:rFonts w:ascii="仿宋_GB2312" w:hAnsi="仿宋_GB2312" w:cs="仿宋_GB2312" w:eastAsia="仿宋_GB2312"/>
                <w:sz w:val="20"/>
                <w:color w:val="0000FF"/>
              </w:rPr>
              <w:t>10</w:t>
            </w:r>
            <w:r>
              <w:rPr>
                <w:rFonts w:ascii="仿宋_GB2312" w:hAnsi="仿宋_GB2312" w:cs="仿宋_GB2312" w:eastAsia="仿宋_GB2312"/>
                <w:sz w:val="20"/>
                <w:color w:val="0000FF"/>
              </w:rPr>
              <w:t>个工作日内支付合同总价款的</w:t>
            </w:r>
            <w:r>
              <w:rPr>
                <w:rFonts w:ascii="仿宋_GB2312" w:hAnsi="仿宋_GB2312" w:cs="仿宋_GB2312" w:eastAsia="仿宋_GB2312"/>
                <w:sz w:val="20"/>
                <w:color w:val="0000FF"/>
              </w:rPr>
              <w:t>40%</w:t>
            </w:r>
            <w:r>
              <w:rPr>
                <w:rFonts w:ascii="仿宋_GB2312" w:hAnsi="仿宋_GB2312" w:cs="仿宋_GB2312" w:eastAsia="仿宋_GB2312"/>
                <w:sz w:val="20"/>
                <w:color w:val="0000FF"/>
              </w:rPr>
              <w:t xml:space="preserve">；项目实施二阶段完成并验收合格后， </w:t>
            </w:r>
            <w:r>
              <w:rPr>
                <w:rFonts w:ascii="仿宋_GB2312" w:hAnsi="仿宋_GB2312" w:cs="仿宋_GB2312" w:eastAsia="仿宋_GB2312"/>
                <w:sz w:val="20"/>
                <w:color w:val="0000FF"/>
              </w:rPr>
              <w:t>10</w:t>
            </w:r>
            <w:r>
              <w:rPr>
                <w:rFonts w:ascii="仿宋_GB2312" w:hAnsi="仿宋_GB2312" w:cs="仿宋_GB2312" w:eastAsia="仿宋_GB2312"/>
                <w:sz w:val="20"/>
                <w:color w:val="0000FF"/>
              </w:rPr>
              <w:t>个工作日内支付合同总价款的</w:t>
            </w:r>
            <w:r>
              <w:rPr>
                <w:rFonts w:ascii="仿宋_GB2312" w:hAnsi="仿宋_GB2312" w:cs="仿宋_GB2312" w:eastAsia="仿宋_GB2312"/>
                <w:sz w:val="20"/>
                <w:color w:val="0000FF"/>
              </w:rPr>
              <w:t>20%</w:t>
            </w:r>
            <w:r>
              <w:rPr>
                <w:rFonts w:ascii="仿宋_GB2312" w:hAnsi="仿宋_GB2312" w:cs="仿宋_GB2312" w:eastAsia="仿宋_GB2312"/>
                <w:sz w:val="20"/>
                <w:color w:val="0000FF"/>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color w:val="0000FF"/>
              </w:rPr>
              <w:t>其他要求</w:t>
            </w:r>
          </w:p>
          <w:p>
            <w:pPr>
              <w:pStyle w:val="null3"/>
              <w:jc w:val="both"/>
            </w:pPr>
            <w:r>
              <w:rPr>
                <w:rFonts w:ascii="仿宋_GB2312" w:hAnsi="仿宋_GB2312" w:cs="仿宋_GB2312" w:eastAsia="仿宋_GB2312"/>
                <w:sz w:val="20"/>
                <w:color w:val="0000FF"/>
              </w:rPr>
              <w:t>（一）对服务商的业绩要求</w:t>
            </w:r>
          </w:p>
          <w:p>
            <w:pPr>
              <w:pStyle w:val="null3"/>
              <w:jc w:val="both"/>
            </w:pPr>
            <w:r>
              <w:rPr>
                <w:rFonts w:ascii="仿宋_GB2312" w:hAnsi="仿宋_GB2312" w:cs="仿宋_GB2312" w:eastAsia="仿宋_GB2312"/>
                <w:sz w:val="20"/>
                <w:color w:val="0000FF"/>
              </w:rPr>
              <w:t>参加政府采购的供应商提供近三年内类似项目业绩，时间以合同签订或中标通知书为准。</w:t>
            </w:r>
          </w:p>
          <w:p>
            <w:pPr>
              <w:pStyle w:val="null3"/>
              <w:jc w:val="both"/>
            </w:pPr>
            <w:r>
              <w:rPr>
                <w:rFonts w:ascii="仿宋_GB2312" w:hAnsi="仿宋_GB2312" w:cs="仿宋_GB2312" w:eastAsia="仿宋_GB2312"/>
                <w:sz w:val="20"/>
                <w:color w:val="0000FF"/>
              </w:rPr>
              <w:t>（二）进度要求</w:t>
            </w:r>
          </w:p>
          <w:p>
            <w:pPr>
              <w:pStyle w:val="null3"/>
              <w:jc w:val="both"/>
            </w:pPr>
            <w:r>
              <w:rPr>
                <w:rFonts w:ascii="仿宋_GB2312" w:hAnsi="仿宋_GB2312" w:cs="仿宋_GB2312" w:eastAsia="仿宋_GB2312"/>
                <w:sz w:val="20"/>
                <w:color w:val="0000FF"/>
              </w:rPr>
              <w:t>1、合同签订后15天内完成垃圾土堆内倒，达到文勘工作要求。</w:t>
            </w:r>
          </w:p>
          <w:p>
            <w:pPr>
              <w:pStyle w:val="null3"/>
              <w:jc w:val="both"/>
            </w:pPr>
            <w:r>
              <w:rPr>
                <w:rFonts w:ascii="仿宋_GB2312" w:hAnsi="仿宋_GB2312" w:cs="仿宋_GB2312" w:eastAsia="仿宋_GB2312"/>
                <w:sz w:val="20"/>
                <w:color w:val="0000FF"/>
              </w:rPr>
              <w:t>2、文勘（发掘）完成后，5天内完成场地平整工作。</w:t>
            </w:r>
          </w:p>
          <w:p>
            <w:pPr>
              <w:pStyle w:val="null3"/>
              <w:jc w:val="both"/>
            </w:pPr>
            <w:r>
              <w:rPr>
                <w:rFonts w:ascii="仿宋_GB2312" w:hAnsi="仿宋_GB2312" w:cs="仿宋_GB2312" w:eastAsia="仿宋_GB2312"/>
                <w:sz w:val="20"/>
                <w:color w:val="0000FF"/>
              </w:rPr>
              <w:t>（三）成果交付要求</w:t>
            </w:r>
          </w:p>
          <w:p>
            <w:pPr>
              <w:pStyle w:val="null3"/>
              <w:jc w:val="both"/>
            </w:pPr>
            <w:r>
              <w:rPr>
                <w:rFonts w:ascii="仿宋_GB2312" w:hAnsi="仿宋_GB2312" w:cs="仿宋_GB2312" w:eastAsia="仿宋_GB2312"/>
                <w:sz w:val="20"/>
                <w:color w:val="0000FF"/>
              </w:rPr>
              <w:t>1、配合文勘进行垃圾土堆清表；</w:t>
            </w:r>
          </w:p>
          <w:p>
            <w:pPr>
              <w:pStyle w:val="null3"/>
              <w:jc w:val="both"/>
            </w:pPr>
            <w:r>
              <w:rPr>
                <w:rFonts w:ascii="仿宋_GB2312" w:hAnsi="仿宋_GB2312" w:cs="仿宋_GB2312" w:eastAsia="仿宋_GB2312"/>
                <w:sz w:val="20"/>
                <w:color w:val="0000FF"/>
              </w:rPr>
              <w:t>2、完成储备地块的场地平整，达到储备地块移交标准。</w:t>
            </w:r>
          </w:p>
          <w:p>
            <w:pPr>
              <w:pStyle w:val="null3"/>
              <w:jc w:val="both"/>
            </w:pPr>
            <w:r>
              <w:rPr>
                <w:rFonts w:ascii="仿宋_GB2312" w:hAnsi="仿宋_GB2312" w:cs="仿宋_GB2312" w:eastAsia="仿宋_GB2312"/>
                <w:sz w:val="20"/>
                <w:color w:val="0000FF"/>
              </w:rPr>
              <w:t>（四）质量验收标准或规范</w:t>
            </w:r>
          </w:p>
          <w:p>
            <w:pPr>
              <w:pStyle w:val="null3"/>
              <w:jc w:val="both"/>
            </w:pPr>
            <w:r>
              <w:rPr>
                <w:rFonts w:ascii="仿宋_GB2312" w:hAnsi="仿宋_GB2312" w:cs="仿宋_GB2312" w:eastAsia="仿宋_GB2312"/>
                <w:sz w:val="20"/>
                <w:color w:val="0000FF"/>
              </w:rPr>
              <w:t>执行中华人民共和国规划设计行业现行标准、规定、规程及规范，符合行业和地方通用标准和惯例要求</w:t>
            </w:r>
          </w:p>
          <w:p>
            <w:pPr>
              <w:pStyle w:val="null3"/>
              <w:jc w:val="both"/>
            </w:pPr>
            <w:r>
              <w:rPr>
                <w:rFonts w:ascii="仿宋_GB2312" w:hAnsi="仿宋_GB2312" w:cs="仿宋_GB2312" w:eastAsia="仿宋_GB2312"/>
                <w:sz w:val="20"/>
                <w:color w:val="0000FF"/>
              </w:rPr>
              <w:t>（五）</w:t>
            </w:r>
            <w:r>
              <w:rPr>
                <w:rFonts w:ascii="仿宋_GB2312" w:hAnsi="仿宋_GB2312" w:cs="仿宋_GB2312" w:eastAsia="仿宋_GB2312"/>
                <w:sz w:val="20"/>
                <w:color w:val="0000FF"/>
              </w:rPr>
              <w:t>违约责任</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乙方提供的服务或者乙方提供服务的期限不符合招标文件、响应文件或合同规定的，甲方有权拒绝验收，并且乙方须向甲方支付违约金。</w:t>
            </w:r>
          </w:p>
          <w:p>
            <w:pPr>
              <w:pStyle w:val="null3"/>
              <w:jc w:val="left"/>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其他违约责任按《中华人民共和国民法典》处理。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符合采购文件和国家及行业规定的建筑工程质量检验评定“合格”标准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严格依据国家、陕西省、西安市相关标准和规范、技术规定和政策性文件、相关法定规划文件等进行。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不组织统一现场踏勘，各投标供应商可自行踏勘，相关费用及安全由投标供应商自行承担，踏勘时不得扰民。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其他证明材料.docx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投标截止日前三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提供开标前6个月至今已缴纳的至少一个月的纳税凭证或完税证明（任意税种），完税证明上应有代收机构或税务机关的公章；依法免税的供应商应提供相关文件证明；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提供开标前6个月至今已缴存的至少一个月的社会保障资金缴存单据或社保机构开具的社会保险参保缴费情况证明；依法不需要缴纳社会保障资金的供应商应提供相关文件证明；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供应商具备履行合同所必需的设备和专业技术能力；</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（1）具有建筑工程施工总承包三级及以上资质，并具有有效的安全生产许可证； （2）项目经理须具备建筑工程专业二级及以上建造师资格,具有有效的安全生产考核合格证书（建安B证），且未担任其他在建工程项目的项目经理（格式自拟）；</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法定代表人直接参加磋商的，须出具法定代表人身份证明。授权代表参加投标的，须出具法定代表人授权书，并附法定代表人和被授权人身份证复印件、被授权人社保缴纳证明；</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单位负责人为同一人或者存在直接控股、管理关系的不同供应商不得参加统一合同项下的政府采购活动；</w:t>
            </w:r>
          </w:p>
        </w:tc>
        <w:tc>
          <w:tcPr>
            <w:tcW w:type="dxa" w:w="1661"/>
          </w:tcPr>
          <w:p>
            <w:pPr>
              <w:pStyle w:val="null3"/>
            </w:pPr>
            <w:r>
              <w:rPr>
                <w:rFonts w:ascii="仿宋_GB2312" w:hAnsi="仿宋_GB2312" w:cs="仿宋_GB2312" w:eastAsia="仿宋_GB2312"/>
              </w:rPr>
              <w:t>其他证明材料.docx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 （2）响应文件格式：应符合响应文件要求； 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技术服务合同条款及其他商务要求应答表 供应商应提交的相关资格证明材料 其他证明材料.docx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技术服务合同条款及其他商务要求应答表 供应商应提交的相关资格证明材料 其他证明材料.docx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 （2）拟提供服务响应程度；应满足磋商文件提出的技术和服务要求。不允许技术参数负偏离； （3）服务期限：自合同签订之日起15天内完成文勘地块清表。 （4）服务地点：采购人指定地点 磋商有效期：应满足磋商文件中的规定</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技术服务合同条款及其他商务要求应答表 供应商应提交的相关资格证明材料 其他证明材料.docx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供应商具有近三年（2022年8月1日）起至今（以合同签订时间为准）类似项目业绩，投标文件中提供完整合同复印件，每提供一份计2分，满分10分。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清运方案</w:t>
            </w:r>
          </w:p>
        </w:tc>
        <w:tc>
          <w:tcPr>
            <w:tcW w:type="dxa" w:w="2492"/>
          </w:tcPr>
          <w:p>
            <w:pPr>
              <w:pStyle w:val="null3"/>
            </w:pPr>
            <w:r>
              <w:rPr>
                <w:rFonts w:ascii="仿宋_GB2312" w:hAnsi="仿宋_GB2312" w:cs="仿宋_GB2312" w:eastAsia="仿宋_GB2312"/>
              </w:rPr>
              <w:t>投标人提供清运方案，清运方案详细、科学，对垃圾清运流程、时间安排、人员设备配置有清晰规划，能充分满足采购需求，有效解决清运过程中的各类问题。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防尘降噪措施</w:t>
            </w:r>
          </w:p>
        </w:tc>
        <w:tc>
          <w:tcPr>
            <w:tcW w:type="dxa" w:w="2492"/>
          </w:tcPr>
          <w:p>
            <w:pPr>
              <w:pStyle w:val="null3"/>
            </w:pPr>
            <w:r>
              <w:rPr>
                <w:rFonts w:ascii="仿宋_GB2312" w:hAnsi="仿宋_GB2312" w:cs="仿宋_GB2312" w:eastAsia="仿宋_GB2312"/>
              </w:rPr>
              <w:t>投标人制定了完善的防尘降噪方案，措施具体、可行，配备先进的降尘设备，并制定了相关应急处理预案。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安全文明生产措施</w:t>
            </w:r>
          </w:p>
        </w:tc>
        <w:tc>
          <w:tcPr>
            <w:tcW w:type="dxa" w:w="2492"/>
          </w:tcPr>
          <w:p>
            <w:pPr>
              <w:pStyle w:val="null3"/>
            </w:pPr>
            <w:r>
              <w:rPr>
                <w:rFonts w:ascii="仿宋_GB2312" w:hAnsi="仿宋_GB2312" w:cs="仿宋_GB2312" w:eastAsia="仿宋_GB2312"/>
              </w:rPr>
              <w:t>投标人制定了全面的安全文明生产制度，对车辆安全、人员安全、现场作业规范等有明确规定，配备安全管理人员，定期开展安全培训。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现场围挡及覆盖措施</w:t>
            </w:r>
          </w:p>
        </w:tc>
        <w:tc>
          <w:tcPr>
            <w:tcW w:type="dxa" w:w="2492"/>
          </w:tcPr>
          <w:p>
            <w:pPr>
              <w:pStyle w:val="null3"/>
            </w:pPr>
            <w:r>
              <w:rPr>
                <w:rFonts w:ascii="仿宋_GB2312" w:hAnsi="仿宋_GB2312" w:cs="仿宋_GB2312" w:eastAsia="仿宋_GB2312"/>
              </w:rPr>
              <w:t>投标人制定了详细的现场围挡及覆盖方案，选用符合要求的围挡材料和覆盖材料，确保在垃圾清运过程中有效控制扬尘。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车辆配备方案</w:t>
            </w:r>
          </w:p>
        </w:tc>
        <w:tc>
          <w:tcPr>
            <w:tcW w:type="dxa" w:w="2492"/>
          </w:tcPr>
          <w:p>
            <w:pPr>
              <w:pStyle w:val="null3"/>
            </w:pPr>
            <w:r>
              <w:rPr>
                <w:rFonts w:ascii="仿宋_GB2312" w:hAnsi="仿宋_GB2312" w:cs="仿宋_GB2312" w:eastAsia="仿宋_GB2312"/>
              </w:rPr>
              <w:t>投标人制定了完善的车辆配备方案，方案内容完整、车辆配备全面，提供车辆产权证明、租赁合同、车辆保险等相关资料。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投标人制定了全面、详细的人员配备方案，配备足够数量的专业管理人员和清运人员，岗位职责清晰，具备相关人员管理制度。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满足竞争性磋商文件要求且投标价格最低的投标报价为评标基准价，其价格分为满分。其他投标人的价格分统一按照下列公式计算：投标报价得分=（评标基准价/投标报价）×价格分值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详见附件：技术响应.docx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