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F8438">
      <w:pPr>
        <w:tabs>
          <w:tab w:val="left" w:pos="588"/>
        </w:tabs>
        <w:spacing w:line="360" w:lineRule="auto"/>
        <w:jc w:val="center"/>
        <w:outlineLvl w:val="0"/>
        <w:rPr>
          <w:rFonts w:ascii="仿宋" w:hAnsi="仿宋" w:eastAsia="仿宋" w:cs="仿宋"/>
          <w:b/>
          <w:kern w:val="0"/>
          <w:sz w:val="32"/>
          <w:szCs w:val="32"/>
        </w:rPr>
      </w:pPr>
      <w:r>
        <w:rPr>
          <w:rFonts w:hint="eastAsia" w:ascii="仿宋" w:hAnsi="仿宋" w:eastAsia="仿宋" w:cs="仿宋"/>
          <w:b/>
          <w:kern w:val="0"/>
          <w:sz w:val="32"/>
          <w:szCs w:val="32"/>
        </w:rPr>
        <w:t>合同条款及格式</w:t>
      </w:r>
    </w:p>
    <w:p w14:paraId="54DA6263">
      <w:pPr>
        <w:pStyle w:val="6"/>
        <w:ind w:firstLineChars="186"/>
        <w:rPr>
          <w:rFonts w:ascii="仿宋" w:hAnsi="仿宋" w:eastAsia="仿宋" w:cs="仿宋"/>
          <w:b/>
          <w:bCs/>
          <w:sz w:val="30"/>
          <w:szCs w:val="30"/>
        </w:rPr>
      </w:pPr>
      <w:bookmarkStart w:id="0" w:name="_Hlk165126055"/>
      <w:r>
        <w:rPr>
          <w:rFonts w:hint="eastAsia" w:ascii="仿宋" w:hAnsi="仿宋" w:eastAsia="仿宋" w:cs="仿宋"/>
          <w:b/>
          <w:bCs/>
          <w:sz w:val="30"/>
          <w:szCs w:val="30"/>
        </w:rPr>
        <w:t>（本合同模版仅为参考模版，具体格式以采购人签订为准）</w:t>
      </w:r>
      <w:bookmarkEnd w:id="0"/>
    </w:p>
    <w:p w14:paraId="1835F4D9">
      <w:pPr>
        <w:pStyle w:val="6"/>
        <w:ind w:firstLine="0"/>
        <w:rPr>
          <w:rFonts w:ascii="仿宋" w:hAnsi="仿宋" w:eastAsia="仿宋" w:cs="仿宋"/>
          <w:sz w:val="30"/>
          <w:szCs w:val="30"/>
        </w:rPr>
      </w:pPr>
      <w:r>
        <w:rPr>
          <w:rFonts w:hint="eastAsia" w:ascii="仿宋" w:hAnsi="仿宋" w:eastAsia="仿宋" w:cs="仿宋"/>
          <w:sz w:val="30"/>
          <w:szCs w:val="30"/>
        </w:rPr>
        <w:t>合同编号 ：</w:t>
      </w:r>
    </w:p>
    <w:p w14:paraId="139993A6">
      <w:pPr>
        <w:pStyle w:val="6"/>
        <w:ind w:firstLine="0"/>
        <w:rPr>
          <w:rFonts w:ascii="仿宋" w:hAnsi="仿宋" w:eastAsia="仿宋" w:cs="仿宋"/>
          <w:sz w:val="52"/>
          <w:szCs w:val="40"/>
          <w:u w:val="single"/>
        </w:rPr>
      </w:pPr>
    </w:p>
    <w:p w14:paraId="7D4DF25D">
      <w:pPr>
        <w:pStyle w:val="3"/>
        <w:keepNext w:val="0"/>
        <w:keepLines w:val="0"/>
        <w:widowControl/>
        <w:suppressLineNumbers w:val="0"/>
        <w:spacing w:before="0" w:beforeAutospacing="0" w:after="0" w:afterAutospacing="0"/>
        <w:ind w:left="0" w:right="0" w:firstLine="0"/>
        <w:jc w:val="center"/>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2025年度北院门街办机关食堂外包项目</w:t>
      </w:r>
    </w:p>
    <w:p w14:paraId="272DA117">
      <w:pPr>
        <w:pStyle w:val="6"/>
        <w:ind w:firstLine="0"/>
        <w:jc w:val="center"/>
        <w:rPr>
          <w:rFonts w:ascii="仿宋" w:hAnsi="仿宋" w:eastAsia="仿宋" w:cs="仿宋"/>
          <w:sz w:val="52"/>
          <w:szCs w:val="40"/>
          <w:u w:val="single"/>
        </w:rPr>
      </w:pPr>
    </w:p>
    <w:p w14:paraId="063720A4">
      <w:pPr>
        <w:pStyle w:val="6"/>
        <w:ind w:firstLine="0"/>
        <w:jc w:val="center"/>
        <w:rPr>
          <w:rFonts w:ascii="仿宋" w:hAnsi="仿宋" w:eastAsia="仿宋" w:cs="仿宋"/>
          <w:sz w:val="44"/>
          <w:szCs w:val="44"/>
        </w:rPr>
      </w:pPr>
    </w:p>
    <w:p w14:paraId="718933B6">
      <w:pPr>
        <w:pStyle w:val="6"/>
        <w:ind w:firstLine="0"/>
        <w:jc w:val="center"/>
        <w:rPr>
          <w:rFonts w:ascii="仿宋" w:hAnsi="仿宋" w:eastAsia="仿宋" w:cs="仿宋"/>
          <w:sz w:val="44"/>
          <w:szCs w:val="44"/>
        </w:rPr>
      </w:pPr>
    </w:p>
    <w:p w14:paraId="6B2D1587">
      <w:pPr>
        <w:pStyle w:val="6"/>
        <w:ind w:firstLine="0"/>
        <w:jc w:val="center"/>
        <w:rPr>
          <w:rFonts w:ascii="仿宋" w:hAnsi="仿宋" w:eastAsia="仿宋" w:cs="仿宋"/>
          <w:sz w:val="44"/>
          <w:szCs w:val="44"/>
        </w:rPr>
      </w:pPr>
      <w:r>
        <w:rPr>
          <w:rFonts w:hint="eastAsia" w:ascii="仿宋" w:hAnsi="仿宋" w:eastAsia="仿宋" w:cs="仿宋"/>
          <w:sz w:val="44"/>
          <w:szCs w:val="44"/>
        </w:rPr>
        <w:t>委托经营合同</w:t>
      </w:r>
    </w:p>
    <w:p w14:paraId="5EF3F877">
      <w:pPr>
        <w:pStyle w:val="6"/>
        <w:ind w:firstLine="0"/>
        <w:rPr>
          <w:rFonts w:ascii="仿宋" w:hAnsi="仿宋" w:eastAsia="仿宋" w:cs="仿宋"/>
        </w:rPr>
      </w:pPr>
    </w:p>
    <w:p w14:paraId="284506C0">
      <w:pPr>
        <w:pStyle w:val="6"/>
        <w:ind w:firstLine="0"/>
        <w:rPr>
          <w:rFonts w:ascii="仿宋" w:hAnsi="仿宋" w:eastAsia="仿宋" w:cs="仿宋"/>
        </w:rPr>
      </w:pPr>
    </w:p>
    <w:p w14:paraId="611A6CF8">
      <w:pPr>
        <w:pStyle w:val="6"/>
        <w:ind w:firstLine="0"/>
        <w:rPr>
          <w:rFonts w:ascii="仿宋" w:hAnsi="仿宋" w:eastAsia="仿宋" w:cs="仿宋"/>
        </w:rPr>
      </w:pPr>
    </w:p>
    <w:p w14:paraId="0E5A0FFB">
      <w:pPr>
        <w:pStyle w:val="6"/>
        <w:ind w:firstLine="0"/>
        <w:rPr>
          <w:rFonts w:ascii="仿宋" w:hAnsi="仿宋" w:eastAsia="仿宋" w:cs="仿宋"/>
        </w:rPr>
      </w:pPr>
    </w:p>
    <w:p w14:paraId="434C2D07">
      <w:pPr>
        <w:pStyle w:val="6"/>
        <w:ind w:firstLine="0"/>
        <w:rPr>
          <w:rFonts w:ascii="仿宋" w:hAnsi="仿宋" w:eastAsia="仿宋" w:cs="仿宋"/>
          <w:sz w:val="28"/>
          <w:szCs w:val="28"/>
        </w:rPr>
      </w:pPr>
    </w:p>
    <w:p w14:paraId="52FF55D3">
      <w:pPr>
        <w:pStyle w:val="6"/>
        <w:ind w:firstLineChars="175"/>
        <w:jc w:val="left"/>
        <w:rPr>
          <w:rFonts w:ascii="仿宋" w:hAnsi="仿宋" w:eastAsia="仿宋" w:cs="仿宋"/>
          <w:sz w:val="32"/>
          <w:szCs w:val="32"/>
        </w:rPr>
      </w:pPr>
      <w:r>
        <w:rPr>
          <w:rFonts w:hint="eastAsia" w:ascii="仿宋" w:hAnsi="仿宋" w:eastAsia="仿宋" w:cs="仿宋"/>
          <w:sz w:val="32"/>
          <w:szCs w:val="32"/>
        </w:rPr>
        <w:t>采  购 人：</w:t>
      </w:r>
    </w:p>
    <w:p w14:paraId="1B6F48C5">
      <w:pPr>
        <w:pStyle w:val="6"/>
        <w:ind w:firstLineChars="175"/>
        <w:jc w:val="left"/>
        <w:rPr>
          <w:rFonts w:ascii="仿宋" w:hAnsi="仿宋" w:eastAsia="仿宋" w:cs="仿宋"/>
          <w:sz w:val="32"/>
          <w:szCs w:val="32"/>
        </w:rPr>
      </w:pPr>
    </w:p>
    <w:p w14:paraId="18D391F3">
      <w:pPr>
        <w:pStyle w:val="6"/>
        <w:ind w:firstLineChars="175"/>
        <w:jc w:val="left"/>
        <w:rPr>
          <w:rFonts w:ascii="仿宋" w:hAnsi="仿宋" w:eastAsia="仿宋" w:cs="仿宋"/>
          <w:sz w:val="32"/>
          <w:szCs w:val="32"/>
        </w:rPr>
      </w:pPr>
      <w:r>
        <w:rPr>
          <w:rFonts w:hint="eastAsia" w:ascii="仿宋" w:hAnsi="仿宋" w:eastAsia="仿宋" w:cs="仿宋"/>
          <w:sz w:val="32"/>
          <w:szCs w:val="32"/>
        </w:rPr>
        <w:t>成交供应商：</w:t>
      </w:r>
    </w:p>
    <w:p w14:paraId="1AFED956">
      <w:pPr>
        <w:pStyle w:val="6"/>
        <w:ind w:firstLine="1920" w:firstLineChars="600"/>
        <w:jc w:val="left"/>
        <w:rPr>
          <w:rFonts w:ascii="仿宋" w:hAnsi="仿宋" w:eastAsia="仿宋" w:cs="仿宋"/>
          <w:sz w:val="32"/>
          <w:szCs w:val="32"/>
        </w:rPr>
      </w:pPr>
    </w:p>
    <w:p w14:paraId="62854F40">
      <w:pPr>
        <w:pStyle w:val="6"/>
        <w:ind w:firstLine="556" w:firstLineChars="174"/>
        <w:jc w:val="left"/>
      </w:pPr>
      <w:r>
        <w:rPr>
          <w:rFonts w:hint="eastAsia" w:ascii="仿宋" w:hAnsi="仿宋" w:eastAsia="仿宋" w:cs="仿宋"/>
          <w:sz w:val="32"/>
          <w:szCs w:val="32"/>
        </w:rPr>
        <w:t>时      间：   年  月   日</w:t>
      </w:r>
    </w:p>
    <w:p w14:paraId="3A456EA5">
      <w:pPr>
        <w:rPr>
          <w:rFonts w:ascii="仿宋" w:hAnsi="仿宋" w:eastAsia="仿宋" w:cs="仿宋"/>
          <w:b/>
          <w:bCs/>
          <w:sz w:val="24"/>
          <w:lang w:val="zh-CN"/>
        </w:rPr>
      </w:pPr>
      <w:r>
        <w:rPr>
          <w:rFonts w:hint="eastAsia" w:ascii="仿宋" w:hAnsi="仿宋" w:eastAsia="仿宋" w:cs="仿宋"/>
          <w:b/>
          <w:bCs/>
          <w:sz w:val="24"/>
          <w:lang w:val="zh-CN"/>
        </w:rPr>
        <w:br w:type="page"/>
      </w:r>
    </w:p>
    <w:p w14:paraId="61727A61">
      <w:pPr>
        <w:tabs>
          <w:tab w:val="left" w:pos="735"/>
        </w:tabs>
        <w:autoSpaceDE w:val="0"/>
        <w:autoSpaceDN w:val="0"/>
        <w:adjustRightInd w:val="0"/>
        <w:snapToGrid w:val="0"/>
        <w:spacing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（前款所称采购人）</w:t>
      </w:r>
    </w:p>
    <w:p w14:paraId="1DCC40BA">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w:t>
      </w:r>
    </w:p>
    <w:p w14:paraId="260878AE">
      <w:pPr>
        <w:pStyle w:val="6"/>
        <w:widowControl/>
        <w:kinsoku w:val="0"/>
        <w:autoSpaceDE w:val="0"/>
        <w:autoSpaceDN w:val="0"/>
        <w:adjustRightInd w:val="0"/>
        <w:snapToGrid w:val="0"/>
        <w:spacing w:line="360" w:lineRule="auto"/>
        <w:ind w:firstLine="480" w:firstLineChars="200"/>
        <w:textAlignment w:val="baseline"/>
        <w:rPr>
          <w:rFonts w:ascii="仿宋" w:hAnsi="仿宋" w:eastAsia="仿宋" w:cs="仿宋"/>
          <w:szCs w:val="24"/>
        </w:rPr>
      </w:pPr>
      <w:bookmarkStart w:id="1" w:name="_Toc19515384"/>
      <w:r>
        <w:rPr>
          <w:rFonts w:hint="eastAsia" w:ascii="仿宋" w:hAnsi="仿宋" w:eastAsia="仿宋" w:cs="仿宋"/>
          <w:szCs w:val="24"/>
        </w:rPr>
        <w:t>根据《中华人民共和国民法典》、《中华人民共和国政府采购法》及实施条例等相关规定，经过友好协商，为确保甲方采购项目顺利实施，甲、乙双方在平等自愿的原则下签订本合同，并共同遵守如下条款：</w:t>
      </w:r>
    </w:p>
    <w:p w14:paraId="406182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一、合同内容</w:t>
      </w:r>
      <w:bookmarkEnd w:id="1"/>
      <w:r>
        <w:rPr>
          <w:rFonts w:hint="eastAsia" w:ascii="仿宋" w:hAnsi="仿宋" w:eastAsia="仿宋" w:cs="仿宋"/>
          <w:sz w:val="24"/>
        </w:rPr>
        <w:t>：</w:t>
      </w:r>
    </w:p>
    <w:p w14:paraId="549D1E6A">
      <w:pPr>
        <w:pStyle w:val="6"/>
        <w:widowControl/>
        <w:kinsoku w:val="0"/>
        <w:autoSpaceDE w:val="0"/>
        <w:autoSpaceDN w:val="0"/>
        <w:adjustRightInd w:val="0"/>
        <w:snapToGrid w:val="0"/>
        <w:spacing w:line="360" w:lineRule="auto"/>
        <w:ind w:firstLine="480" w:firstLineChars="200"/>
        <w:textAlignment w:val="baseline"/>
        <w:rPr>
          <w:rFonts w:ascii="仿宋" w:hAnsi="仿宋" w:eastAsia="仿宋" w:cs="仿宋"/>
          <w:szCs w:val="24"/>
        </w:rPr>
      </w:pPr>
      <w:bookmarkStart w:id="2" w:name="_Toc19515385"/>
      <w:r>
        <w:rPr>
          <w:rFonts w:hint="eastAsia" w:ascii="仿宋" w:hAnsi="仿宋" w:eastAsia="仿宋" w:cs="仿宋"/>
          <w:szCs w:val="24"/>
        </w:rPr>
        <w:t>服务明细：</w:t>
      </w:r>
    </w:p>
    <w:p w14:paraId="222F58EB">
      <w:pPr>
        <w:pStyle w:val="6"/>
        <w:widowControl/>
        <w:kinsoku w:val="0"/>
        <w:autoSpaceDE w:val="0"/>
        <w:autoSpaceDN w:val="0"/>
        <w:adjustRightInd w:val="0"/>
        <w:snapToGrid w:val="0"/>
        <w:spacing w:line="360" w:lineRule="auto"/>
        <w:ind w:firstLine="480" w:firstLineChars="200"/>
        <w:textAlignment w:val="baseline"/>
        <w:rPr>
          <w:rFonts w:ascii="仿宋" w:hAnsi="仿宋" w:eastAsia="仿宋" w:cs="仿宋"/>
          <w:szCs w:val="24"/>
        </w:rPr>
      </w:pPr>
      <w:r>
        <w:rPr>
          <w:rFonts w:hint="eastAsia" w:ascii="仿宋" w:hAnsi="仿宋" w:eastAsia="仿宋" w:cs="仿宋"/>
          <w:szCs w:val="24"/>
        </w:rPr>
        <w:t>服务明细包含：</w:t>
      </w:r>
    </w:p>
    <w:p w14:paraId="7BB6656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二、合同价款</w:t>
      </w:r>
      <w:bookmarkEnd w:id="2"/>
    </w:p>
    <w:p w14:paraId="20E26BBC">
      <w:pPr>
        <w:adjustRightInd w:val="0"/>
        <w:snapToGrid w:val="0"/>
        <w:spacing w:line="360" w:lineRule="auto"/>
        <w:ind w:firstLine="480" w:firstLineChars="200"/>
        <w:rPr>
          <w:rFonts w:ascii="仿宋" w:hAnsi="仿宋" w:eastAsia="仿宋" w:cs="仿宋"/>
          <w:sz w:val="24"/>
          <w:u w:val="single"/>
        </w:rPr>
      </w:pPr>
      <w:r>
        <w:rPr>
          <w:rFonts w:hint="eastAsia" w:ascii="仿宋" w:hAnsi="仿宋" w:eastAsia="仿宋" w:cs="仿宋"/>
          <w:sz w:val="24"/>
        </w:rPr>
        <w:t>1.合同总价：大写：（</w:t>
      </w:r>
      <w:r>
        <w:rPr>
          <w:rFonts w:ascii="Arial" w:hAnsi="Arial" w:eastAsia="仿宋" w:cs="Arial"/>
          <w:sz w:val="24"/>
        </w:rPr>
        <w:t>¥</w:t>
      </w:r>
      <w:r>
        <w:rPr>
          <w:rFonts w:hint="eastAsia" w:ascii="仿宋" w:hAnsi="仿宋" w:eastAsia="仿宋" w:cs="仿宋"/>
          <w:sz w:val="24"/>
        </w:rPr>
        <w:t>元）</w:t>
      </w:r>
    </w:p>
    <w:p w14:paraId="614698FA">
      <w:pPr>
        <w:adjustRightInd w:val="0"/>
        <w:snapToGrid w:val="0"/>
        <w:spacing w:line="360" w:lineRule="auto"/>
        <w:rPr>
          <w:rFonts w:ascii="仿宋" w:hAnsi="仿宋" w:eastAsia="仿宋" w:cs="仿宋"/>
          <w:sz w:val="24"/>
        </w:rPr>
      </w:pPr>
      <w:r>
        <w:rPr>
          <w:rFonts w:hint="eastAsia" w:ascii="仿宋" w:hAnsi="仿宋" w:eastAsia="仿宋" w:cs="仿宋"/>
          <w:sz w:val="24"/>
        </w:rPr>
        <w:t>2.合同总价包括：完成采购内容所需要的直接费、间接费、利润、税金、规费及其他相关的一切费用。</w:t>
      </w:r>
    </w:p>
    <w:p w14:paraId="69A1483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3.合同总价一次包死，不受市场价变化的影响。</w:t>
      </w:r>
    </w:p>
    <w:p w14:paraId="54C815B2">
      <w:pPr>
        <w:adjustRightInd w:val="0"/>
        <w:snapToGrid w:val="0"/>
        <w:spacing w:line="360" w:lineRule="auto"/>
        <w:ind w:firstLine="480" w:firstLineChars="200"/>
        <w:rPr>
          <w:rFonts w:ascii="仿宋" w:hAnsi="仿宋" w:eastAsia="仿宋" w:cs="仿宋"/>
          <w:sz w:val="24"/>
        </w:rPr>
      </w:pPr>
      <w:bookmarkStart w:id="3" w:name="_Toc19515386"/>
      <w:r>
        <w:rPr>
          <w:rFonts w:hint="eastAsia" w:ascii="仿宋" w:hAnsi="仿宋" w:eastAsia="仿宋" w:cs="仿宋"/>
          <w:sz w:val="24"/>
        </w:rPr>
        <w:t>三、合同结算</w:t>
      </w:r>
      <w:bookmarkEnd w:id="3"/>
    </w:p>
    <w:p w14:paraId="46BDDB1A">
      <w:pPr>
        <w:spacing w:line="360" w:lineRule="auto"/>
        <w:ind w:firstLine="420" w:firstLineChars="200"/>
        <w:rPr>
          <w:rFonts w:ascii="仿宋" w:hAnsi="仿宋" w:eastAsia="仿宋" w:cs="仿宋"/>
          <w:sz w:val="24"/>
          <w:szCs w:val="20"/>
        </w:rPr>
      </w:pPr>
      <w:r>
        <w:rPr>
          <w:rFonts w:hint="eastAsia" w:ascii="仿宋" w:hAnsi="仿宋" w:eastAsia="仿宋" w:cs="仿宋"/>
        </w:rPr>
        <w:t>1.</w:t>
      </w:r>
      <w:r>
        <w:rPr>
          <w:rFonts w:hint="eastAsia" w:ascii="仿宋" w:hAnsi="仿宋" w:eastAsia="仿宋" w:cs="仿宋"/>
          <w:sz w:val="24"/>
          <w:szCs w:val="20"/>
        </w:rPr>
        <w:t>付款方式：合同签订后按季度支付，下季度初支付上季度承包费用。</w:t>
      </w:r>
    </w:p>
    <w:p w14:paraId="1FCF31C6">
      <w:pPr>
        <w:pStyle w:val="6"/>
        <w:snapToGrid w:val="0"/>
        <w:spacing w:line="360" w:lineRule="auto"/>
        <w:ind w:firstLine="422" w:firstLineChars="176"/>
        <w:rPr>
          <w:rFonts w:ascii="仿宋" w:hAnsi="仿宋" w:eastAsia="仿宋" w:cs="仿宋"/>
        </w:rPr>
      </w:pPr>
      <w:r>
        <w:rPr>
          <w:rFonts w:hint="eastAsia" w:ascii="仿宋" w:hAnsi="仿宋" w:eastAsia="仿宋" w:cs="仿宋"/>
        </w:rPr>
        <w:t>2.结算方式：由成交单位按照磋商文件中约定的付款方式向采购人提出申请，征得西安市莲湖区财政局同意后，待财政拨付到位后可按文件中规定的付款方式进行结算。</w:t>
      </w:r>
    </w:p>
    <w:p w14:paraId="2ECF0CC5">
      <w:pPr>
        <w:pStyle w:val="6"/>
        <w:snapToGrid w:val="0"/>
        <w:spacing w:line="360" w:lineRule="auto"/>
        <w:ind w:firstLine="422" w:firstLineChars="176"/>
        <w:rPr>
          <w:rFonts w:ascii="仿宋" w:hAnsi="仿宋" w:eastAsia="仿宋" w:cs="仿宋"/>
        </w:rPr>
      </w:pPr>
      <w:r>
        <w:rPr>
          <w:rFonts w:hint="eastAsia" w:ascii="仿宋" w:hAnsi="仿宋" w:eastAsia="仿宋" w:cs="仿宋"/>
        </w:rPr>
        <w:t>3.结算单位：由</w:t>
      </w:r>
      <w:r>
        <w:rPr>
          <w:rFonts w:hint="eastAsia" w:ascii="仿宋" w:hAnsi="仿宋" w:eastAsia="仿宋" w:cs="仿宋"/>
          <w:u w:val="single"/>
        </w:rPr>
        <w:t xml:space="preserve">  甲方  </w:t>
      </w:r>
      <w:r>
        <w:rPr>
          <w:rFonts w:hint="eastAsia" w:ascii="仿宋" w:hAnsi="仿宋" w:eastAsia="仿宋" w:cs="仿宋"/>
        </w:rPr>
        <w:t>负责结算，乙方开具合同总价数的全额发票交采购人。</w:t>
      </w:r>
    </w:p>
    <w:p w14:paraId="2855632F">
      <w:pPr>
        <w:adjustRightInd w:val="0"/>
        <w:snapToGrid w:val="0"/>
        <w:spacing w:line="360" w:lineRule="auto"/>
        <w:ind w:firstLine="480" w:firstLineChars="200"/>
        <w:rPr>
          <w:rFonts w:ascii="仿宋" w:hAnsi="仿宋" w:eastAsia="仿宋" w:cs="仿宋"/>
          <w:sz w:val="24"/>
        </w:rPr>
      </w:pPr>
      <w:bookmarkStart w:id="4" w:name="_Toc19515387"/>
      <w:r>
        <w:rPr>
          <w:rFonts w:hint="eastAsia" w:ascii="仿宋" w:hAnsi="仿宋" w:eastAsia="仿宋" w:cs="仿宋"/>
          <w:sz w:val="24"/>
        </w:rPr>
        <w:t>四、服务期限、地点及方式</w:t>
      </w:r>
      <w:bookmarkEnd w:id="4"/>
      <w:r>
        <w:rPr>
          <w:rFonts w:hint="eastAsia" w:ascii="仿宋" w:hAnsi="仿宋" w:eastAsia="仿宋" w:cs="仿宋"/>
          <w:sz w:val="24"/>
        </w:rPr>
        <w:t>：</w:t>
      </w:r>
    </w:p>
    <w:p w14:paraId="29A772D1">
      <w:pPr>
        <w:pStyle w:val="6"/>
        <w:spacing w:line="360" w:lineRule="auto"/>
        <w:ind w:firstLine="422" w:firstLineChars="176"/>
        <w:rPr>
          <w:rFonts w:ascii="仿宋" w:hAnsi="仿宋" w:eastAsia="仿宋"/>
          <w:sz w:val="28"/>
          <w:szCs w:val="28"/>
        </w:rPr>
      </w:pPr>
      <w:r>
        <w:rPr>
          <w:rFonts w:hint="eastAsia" w:ascii="仿宋" w:hAnsi="仿宋" w:eastAsia="仿宋" w:cs="仿宋"/>
        </w:rPr>
        <w:t>1.服务期限：</w:t>
      </w:r>
      <w:r>
        <w:rPr>
          <w:rFonts w:hint="eastAsia" w:ascii="仿宋" w:hAnsi="仿宋" w:eastAsia="仿宋" w:cs="仿宋"/>
          <w:szCs w:val="24"/>
        </w:rPr>
        <w:t>自合同签订之日起一年期限。</w:t>
      </w:r>
    </w:p>
    <w:p w14:paraId="67E8C5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2.地点：甲方指定地点。</w:t>
      </w:r>
    </w:p>
    <w:p w14:paraId="144938EE">
      <w:pPr>
        <w:adjustRightInd w:val="0"/>
        <w:snapToGrid w:val="0"/>
        <w:spacing w:line="360" w:lineRule="auto"/>
        <w:ind w:firstLine="480" w:firstLineChars="200"/>
        <w:rPr>
          <w:rFonts w:ascii="仿宋" w:hAnsi="仿宋" w:eastAsia="仿宋" w:cs="仿宋"/>
          <w:sz w:val="24"/>
        </w:rPr>
      </w:pPr>
      <w:bookmarkStart w:id="5" w:name="_Toc19515390"/>
      <w:r>
        <w:rPr>
          <w:rFonts w:hint="eastAsia" w:ascii="仿宋" w:hAnsi="仿宋" w:eastAsia="仿宋" w:cs="仿宋"/>
          <w:sz w:val="24"/>
        </w:rPr>
        <w:t>五、</w:t>
      </w:r>
      <w:bookmarkEnd w:id="5"/>
      <w:r>
        <w:rPr>
          <w:rFonts w:hint="eastAsia" w:ascii="仿宋" w:hAnsi="仿宋" w:eastAsia="仿宋" w:cs="仿宋"/>
          <w:sz w:val="24"/>
        </w:rPr>
        <w:t>甲方的权利和义务</w:t>
      </w:r>
    </w:p>
    <w:p w14:paraId="6086519B">
      <w:pPr>
        <w:adjustRightInd w:val="0"/>
        <w:snapToGrid w:val="0"/>
        <w:spacing w:line="360" w:lineRule="auto"/>
        <w:ind w:firstLine="480" w:firstLineChars="200"/>
        <w:rPr>
          <w:rFonts w:ascii="仿宋" w:hAnsi="仿宋" w:eastAsia="仿宋" w:cs="仿宋"/>
          <w:sz w:val="24"/>
        </w:rPr>
      </w:pPr>
      <w:bookmarkStart w:id="6" w:name="_Toc19515392"/>
      <w:r>
        <w:rPr>
          <w:rFonts w:hint="eastAsia" w:ascii="仿宋" w:hAnsi="仿宋" w:eastAsia="仿宋" w:cs="仿宋"/>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16CE147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2.甲方有权依据双方签订的考评办法对乙方提供的服务进行定期考评。</w:t>
      </w:r>
    </w:p>
    <w:p w14:paraId="17312BD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3.负责检查监督乙方管理工作的实施及制度的执行情况。</w:t>
      </w:r>
    </w:p>
    <w:p w14:paraId="6F3EA9F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4.根据本合同规定，按时向乙方支付应付服务费用。</w:t>
      </w:r>
    </w:p>
    <w:p w14:paraId="3021100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5.国家法律、法规所规定由甲方承担的其它责任。</w:t>
      </w:r>
    </w:p>
    <w:p w14:paraId="13B54D1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六、乙方的权利和义务</w:t>
      </w:r>
    </w:p>
    <w:p w14:paraId="3D7669A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1.对本合同规定的委托服务范围内的项目享有管理权及服务义务。</w:t>
      </w:r>
    </w:p>
    <w:p w14:paraId="6A6AA68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2.根据本合同的规定向甲方收取相关服务费用，并有权在本项目管理范围内管理及合理使用。</w:t>
      </w:r>
    </w:p>
    <w:p w14:paraId="336514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3.及时向甲方通告本项目服务范围内有关服务的重大事项，及时配合处理投诉。</w:t>
      </w:r>
    </w:p>
    <w:p w14:paraId="6E220D8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4.接受项目行业管理部门及政府有关部门的指导，接受甲方的监督。</w:t>
      </w:r>
    </w:p>
    <w:p w14:paraId="7E5B3183">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5.国家法律、法规所规定由乙方承担的其它责任。</w:t>
      </w:r>
    </w:p>
    <w:bookmarkEnd w:id="6"/>
    <w:p w14:paraId="72AC4135">
      <w:pPr>
        <w:adjustRightInd w:val="0"/>
        <w:snapToGrid w:val="0"/>
        <w:spacing w:line="360" w:lineRule="auto"/>
        <w:ind w:left="210" w:leftChars="100" w:firstLine="240" w:firstLineChars="100"/>
        <w:rPr>
          <w:rFonts w:ascii="仿宋" w:hAnsi="仿宋" w:eastAsia="仿宋" w:cs="仿宋"/>
          <w:sz w:val="24"/>
        </w:rPr>
      </w:pPr>
      <w:bookmarkStart w:id="7" w:name="_Toc19515393"/>
      <w:r>
        <w:rPr>
          <w:rFonts w:hint="eastAsia" w:ascii="仿宋" w:hAnsi="仿宋" w:eastAsia="仿宋" w:cs="仿宋"/>
          <w:sz w:val="24"/>
        </w:rPr>
        <w:t>七、质量验收标准：</w:t>
      </w:r>
    </w:p>
    <w:p w14:paraId="17217E30">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1.餐品质量符合《食品安全国家标准餐饮服务通用卫生规范》。</w:t>
      </w:r>
    </w:p>
    <w:p w14:paraId="6CC7276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2.供应商食材采购渠道、饮食制作加工等，须符合清真饮食标准要求。</w:t>
      </w:r>
    </w:p>
    <w:p w14:paraId="466486C6">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3.现行的国家标准或国家行政部门颁布的法律法规、规章制度等，是项目验收的另一个重要依据。没有国家标准的，可以参考行业标准。</w:t>
      </w:r>
    </w:p>
    <w:p w14:paraId="0A01462C">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八、知识产权乙方应保证所提供的服务或其任何一部分均不会侵犯任何第三方的专利权、商标权或著作权。</w:t>
      </w:r>
    </w:p>
    <w:p w14:paraId="2AD77021">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九、违约责任</w:t>
      </w:r>
    </w:p>
    <w:p w14:paraId="29B3B79D">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1.甲乙双方必须遵守本合同并执行合同中的各项规定，保证本合同的正常履行。</w:t>
      </w:r>
    </w:p>
    <w:p w14:paraId="1B7002EA">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294223B">
      <w:pPr>
        <w:adjustRightInd w:val="0"/>
        <w:snapToGrid w:val="0"/>
        <w:spacing w:line="360" w:lineRule="auto"/>
        <w:ind w:left="210" w:leftChars="100" w:firstLine="240" w:firstLineChars="100"/>
        <w:rPr>
          <w:rFonts w:ascii="仿宋" w:hAnsi="仿宋" w:eastAsia="仿宋" w:cs="仿宋"/>
          <w:sz w:val="24"/>
        </w:rPr>
      </w:pPr>
      <w:r>
        <w:rPr>
          <w:rFonts w:hint="eastAsia" w:ascii="仿宋" w:hAnsi="仿宋" w:eastAsia="仿宋" w:cs="仿宋"/>
          <w:sz w:val="24"/>
        </w:rPr>
        <w:t>十、合同组成</w:t>
      </w:r>
      <w:bookmarkEnd w:id="7"/>
    </w:p>
    <w:p w14:paraId="1651BD6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4BDE62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C00BB1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7AD772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1115B35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69ADB9C5">
      <w:pPr>
        <w:adjustRightInd w:val="0"/>
        <w:snapToGrid w:val="0"/>
        <w:spacing w:line="360" w:lineRule="auto"/>
        <w:ind w:firstLine="480" w:firstLineChars="200"/>
        <w:rPr>
          <w:rFonts w:ascii="仿宋" w:hAnsi="仿宋" w:eastAsia="仿宋" w:cs="仿宋"/>
          <w:sz w:val="24"/>
        </w:rPr>
      </w:pPr>
      <w:bookmarkStart w:id="8" w:name="_Toc19515394"/>
      <w:r>
        <w:rPr>
          <w:rFonts w:hint="eastAsia" w:ascii="仿宋" w:hAnsi="仿宋" w:eastAsia="仿宋" w:cs="仿宋"/>
          <w:sz w:val="24"/>
        </w:rPr>
        <w:t>十一、监督及管理</w:t>
      </w:r>
    </w:p>
    <w:p w14:paraId="0F8ED59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C016CE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2.采购人供应商双方均应自觉配合有关监督管理部门对合同履行情况的监督检查，如实反映情况，提供有关资料：否则，将对有关单位、当事人按照有关规定予以处罚。</w:t>
      </w:r>
    </w:p>
    <w:p w14:paraId="3FED9BD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十二、解决争议的方法</w:t>
      </w:r>
      <w:bookmarkEnd w:id="8"/>
    </w:p>
    <w:p w14:paraId="77400242">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凡因本合同引起的或与本合同有关的争议，双方应友好协商解决。协商不成时，双方均同意采用以下第（ 2 ）种争议解决方式：</w:t>
      </w:r>
    </w:p>
    <w:p w14:paraId="69C1C326">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41131145">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713300B1">
      <w:pPr>
        <w:adjustRightInd w:val="0"/>
        <w:snapToGrid w:val="0"/>
        <w:spacing w:line="360" w:lineRule="auto"/>
        <w:ind w:firstLine="480" w:firstLineChars="200"/>
        <w:rPr>
          <w:rFonts w:ascii="仿宋" w:hAnsi="仿宋" w:eastAsia="仿宋" w:cs="仿宋"/>
          <w:sz w:val="24"/>
        </w:rPr>
      </w:pPr>
      <w:bookmarkStart w:id="9" w:name="_Toc19515395"/>
      <w:r>
        <w:rPr>
          <w:rFonts w:hint="eastAsia" w:ascii="仿宋" w:hAnsi="仿宋" w:eastAsia="仿宋" w:cs="仿宋"/>
          <w:sz w:val="24"/>
        </w:rPr>
        <w:t>十四、合同生效及其它</w:t>
      </w:r>
      <w:bookmarkEnd w:id="9"/>
    </w:p>
    <w:p w14:paraId="032F3C9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144D4AD7">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2.本合同正本一式份，甲方、乙方双方分别执份，备案份。</w:t>
      </w:r>
    </w:p>
    <w:p w14:paraId="64CC5776">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p>
    <w:p w14:paraId="2F5F2656">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4.生效时间：年月日</w:t>
      </w:r>
    </w:p>
    <w:p w14:paraId="2CC9882C">
      <w:pPr>
        <w:widowControl/>
        <w:tabs>
          <w:tab w:val="left" w:pos="8391"/>
        </w:tabs>
        <w:autoSpaceDE w:val="0"/>
        <w:autoSpaceDN w:val="0"/>
        <w:snapToGrid w:val="0"/>
        <w:spacing w:line="400" w:lineRule="exact"/>
        <w:ind w:right="-69" w:firstLine="840" w:firstLineChars="350"/>
        <w:textAlignment w:val="bottom"/>
        <w:rPr>
          <w:rFonts w:ascii="仿宋" w:hAnsi="仿宋" w:eastAsia="仿宋" w:cs="仿宋"/>
          <w:kern w:val="0"/>
          <w:sz w:val="24"/>
        </w:rPr>
      </w:pPr>
    </w:p>
    <w:p w14:paraId="2A0707B0"/>
    <w:p w14:paraId="6E1EEAFE">
      <w:pPr>
        <w:pStyle w:val="2"/>
      </w:pPr>
    </w:p>
    <w:tbl>
      <w:tblPr>
        <w:tblStyle w:val="4"/>
        <w:tblW w:w="0" w:type="auto"/>
        <w:jc w:val="center"/>
        <w:tblLayout w:type="fixed"/>
        <w:tblCellMar>
          <w:top w:w="0" w:type="dxa"/>
          <w:left w:w="108" w:type="dxa"/>
          <w:bottom w:w="0" w:type="dxa"/>
          <w:right w:w="108" w:type="dxa"/>
        </w:tblCellMar>
      </w:tblPr>
      <w:tblGrid>
        <w:gridCol w:w="4643"/>
        <w:gridCol w:w="4643"/>
      </w:tblGrid>
      <w:tr w14:paraId="60712F92">
        <w:tblPrEx>
          <w:tblCellMar>
            <w:top w:w="0" w:type="dxa"/>
            <w:left w:w="108" w:type="dxa"/>
            <w:bottom w:w="0" w:type="dxa"/>
            <w:right w:w="108" w:type="dxa"/>
          </w:tblCellMar>
        </w:tblPrEx>
        <w:trPr>
          <w:jc w:val="center"/>
        </w:trPr>
        <w:tc>
          <w:tcPr>
            <w:tcW w:w="4643" w:type="dxa"/>
          </w:tcPr>
          <w:p w14:paraId="3AD3A879">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34D9E0DA">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地址：</w:t>
            </w:r>
          </w:p>
          <w:p w14:paraId="6AC6D755">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代表人（签字）：</w:t>
            </w:r>
          </w:p>
          <w:p w14:paraId="44B7B0E0">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电话：</w:t>
            </w:r>
          </w:p>
          <w:p w14:paraId="43CFA560">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开户银行：</w:t>
            </w:r>
          </w:p>
          <w:p w14:paraId="4CFCB403">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6E4AE430">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119315C1">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地址：</w:t>
            </w:r>
          </w:p>
          <w:p w14:paraId="7118F233">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代表人（签字）：</w:t>
            </w:r>
          </w:p>
          <w:p w14:paraId="3F5C9FEC">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电话：</w:t>
            </w:r>
          </w:p>
          <w:p w14:paraId="52D94C72">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开户银行：</w:t>
            </w:r>
          </w:p>
          <w:p w14:paraId="087988B3">
            <w:pPr>
              <w:widowControl/>
              <w:autoSpaceDE w:val="0"/>
              <w:autoSpaceDN w:val="0"/>
              <w:snapToGrid w:val="0"/>
              <w:spacing w:line="600" w:lineRule="exact"/>
              <w:ind w:right="-153"/>
              <w:textAlignment w:val="bottom"/>
              <w:rPr>
                <w:rFonts w:ascii="仿宋" w:hAnsi="仿宋" w:eastAsia="仿宋" w:cs="仿宋"/>
                <w:kern w:val="0"/>
                <w:sz w:val="24"/>
              </w:rPr>
            </w:pPr>
            <w:r>
              <w:rPr>
                <w:rFonts w:hint="eastAsia" w:ascii="仿宋" w:hAnsi="仿宋" w:eastAsia="仿宋" w:cs="仿宋"/>
                <w:kern w:val="0"/>
                <w:sz w:val="24"/>
              </w:rPr>
              <w:t>账号：</w:t>
            </w:r>
          </w:p>
        </w:tc>
      </w:tr>
    </w:tbl>
    <w:p w14:paraId="62F0A02D">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0D1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customStyle="1" w:styleId="6">
    <w:name w:val="样式 首行缩进:  2 字符"/>
    <w:basedOn w:val="1"/>
    <w:qFormat/>
    <w:uiPriority w:val="0"/>
    <w:pPr>
      <w:ind w:firstLine="560"/>
    </w:pPr>
    <w:rPr>
      <w:rFonts w:eastAsia="仿宋_GB2312" w:cs="宋体"/>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2025-10-16T05:27:00Z</dcterms:created>
  <dc:creator>Simple</dc:creator>
  <cp:lastModifiedBy>梦想的天空分外蓝</cp:lastModifiedBy>
  <dcterms:modified xsi:type="dcterms:W3CDTF">2025-10-16T05:27:06Z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52F8C4C0E97D4A66B61C258CB48F2476_12</vt:lpwstr>
  </property>
</Properties>
</file>