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2325">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西安市第二十五中学教学设备采购项目</w:t>
      </w:r>
      <w:r>
        <w:rPr>
          <w:rFonts w:hint="eastAsia" w:ascii="仿宋" w:hAnsi="仿宋" w:eastAsia="仿宋" w:cs="仿宋"/>
          <w:b/>
          <w:bCs/>
          <w:color w:val="auto"/>
          <w:sz w:val="44"/>
          <w:szCs w:val="44"/>
          <w:highlight w:val="none"/>
        </w:rPr>
        <w:t>合同</w:t>
      </w:r>
    </w:p>
    <w:p w14:paraId="087A8164">
      <w:pPr>
        <w:pStyle w:val="2"/>
        <w:rPr>
          <w:rFonts w:hint="eastAsia" w:ascii="仿宋" w:hAnsi="仿宋" w:eastAsia="仿宋" w:cs="仿宋"/>
          <w:color w:val="auto"/>
          <w:highlight w:val="none"/>
        </w:rPr>
      </w:pPr>
    </w:p>
    <w:p w14:paraId="305C0C8A">
      <w:pPr>
        <w:rPr>
          <w:rFonts w:hint="eastAsia" w:ascii="仿宋" w:hAnsi="仿宋" w:eastAsia="仿宋" w:cs="仿宋"/>
          <w:color w:val="auto"/>
          <w:highlight w:val="none"/>
        </w:rPr>
      </w:pPr>
    </w:p>
    <w:p w14:paraId="4FFE14ED">
      <w:pPr>
        <w:rPr>
          <w:rFonts w:hint="eastAsia" w:ascii="仿宋" w:hAnsi="仿宋" w:eastAsia="仿宋" w:cs="仿宋"/>
          <w:color w:val="auto"/>
          <w:highlight w:val="none"/>
        </w:rPr>
      </w:pPr>
    </w:p>
    <w:p w14:paraId="14631485">
      <w:pPr>
        <w:pStyle w:val="5"/>
        <w:ind w:firstLine="210"/>
        <w:rPr>
          <w:rFonts w:hint="eastAsia" w:ascii="仿宋" w:hAnsi="仿宋" w:eastAsia="仿宋" w:cs="仿宋"/>
          <w:color w:val="auto"/>
          <w:highlight w:val="none"/>
        </w:rPr>
      </w:pPr>
    </w:p>
    <w:p w14:paraId="507D539E">
      <w:pPr>
        <w:pStyle w:val="5"/>
        <w:ind w:firstLine="210"/>
        <w:rPr>
          <w:rFonts w:hint="eastAsia" w:ascii="仿宋" w:hAnsi="仿宋" w:eastAsia="仿宋" w:cs="仿宋"/>
          <w:color w:val="auto"/>
          <w:highlight w:val="none"/>
        </w:rPr>
      </w:pPr>
    </w:p>
    <w:p w14:paraId="20FA48F6">
      <w:pPr>
        <w:rPr>
          <w:rFonts w:hint="eastAsia" w:ascii="仿宋" w:hAnsi="仿宋" w:eastAsia="仿宋" w:cs="仿宋"/>
          <w:color w:val="auto"/>
          <w:highlight w:val="none"/>
        </w:rPr>
      </w:pPr>
    </w:p>
    <w:p w14:paraId="6FF37245">
      <w:pPr>
        <w:pStyle w:val="9"/>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3E223FCD">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color w:val="auto"/>
          <w:highlight w:val="none"/>
        </w:rPr>
      </w:pPr>
    </w:p>
    <w:p w14:paraId="6863BFE6">
      <w:pPr>
        <w:adjustRightInd w:val="0"/>
        <w:snapToGrid w:val="0"/>
        <w:spacing w:line="360" w:lineRule="auto"/>
        <w:ind w:firstLine="422" w:firstLineChars="200"/>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采购人（全称）：</w:t>
      </w:r>
      <w:r>
        <w:rPr>
          <w:rFonts w:hint="eastAsia" w:ascii="仿宋" w:hAnsi="仿宋" w:eastAsia="仿宋" w:cs="仿宋"/>
          <w:b/>
          <w:color w:val="auto"/>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color w:val="auto"/>
          <w:highlight w:val="none"/>
        </w:rPr>
      </w:pPr>
      <w:r>
        <w:rPr>
          <w:rFonts w:hint="eastAsia" w:ascii="仿宋" w:hAnsi="仿宋" w:eastAsia="仿宋" w:cs="仿宋"/>
          <w:b/>
          <w:color w:val="auto"/>
          <w:highlight w:val="none"/>
        </w:rPr>
        <w:t>供应商（全称）：</w:t>
      </w:r>
      <w:r>
        <w:rPr>
          <w:rFonts w:hint="eastAsia" w:ascii="仿宋" w:hAnsi="仿宋" w:eastAsia="仿宋" w:cs="仿宋"/>
          <w:b/>
          <w:color w:val="auto"/>
          <w:highlight w:val="none"/>
          <w:u w:val="single"/>
        </w:rPr>
        <w:t xml:space="preserve">                                   </w:t>
      </w:r>
      <w:r>
        <w:rPr>
          <w:rFonts w:hint="eastAsia" w:ascii="仿宋" w:hAnsi="仿宋" w:eastAsia="仿宋" w:cs="仿宋"/>
          <w:color w:val="auto"/>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一、项目概况</w:t>
      </w:r>
    </w:p>
    <w:p w14:paraId="7F34072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5CE64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3B1C935">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51C370F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61C48D9">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70F0F9A4">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三、合同金额</w:t>
      </w:r>
    </w:p>
    <w:p w14:paraId="5EADC8D1">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1.本合同为</w:t>
      </w:r>
      <w:r>
        <w:rPr>
          <w:rFonts w:hint="eastAsia" w:ascii="仿宋" w:hAnsi="仿宋" w:eastAsia="仿宋" w:cs="仿宋"/>
          <w:color w:val="auto"/>
          <w:highlight w:val="none"/>
          <w:lang w:val="en-US" w:eastAsia="zh-CN"/>
        </w:rPr>
        <w:t>总</w:t>
      </w:r>
      <w:r>
        <w:rPr>
          <w:rFonts w:hint="eastAsia" w:ascii="仿宋" w:hAnsi="仿宋" w:eastAsia="仿宋" w:cs="仿宋"/>
          <w:color w:val="auto"/>
          <w:highlight w:val="none"/>
        </w:rPr>
        <w:t>价合同。</w:t>
      </w:r>
    </w:p>
    <w:p w14:paraId="607530B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合同总价（大写）：</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1D3DED9">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四、结算方式</w:t>
      </w:r>
    </w:p>
    <w:p w14:paraId="23C15365">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1.结算单位：银行转账，由采购人负责结算。在付款前，供应商必须开具与合同金额相应的发票给</w:t>
      </w:r>
      <w:r>
        <w:rPr>
          <w:rFonts w:hint="eastAsia" w:ascii="仿宋" w:hAnsi="仿宋" w:eastAsia="仿宋" w:cs="仿宋"/>
          <w:color w:val="auto"/>
          <w:szCs w:val="24"/>
          <w:highlight w:val="none"/>
          <w:lang w:val="en-US" w:eastAsia="zh-CN"/>
        </w:rPr>
        <w:t>使用单位</w:t>
      </w:r>
      <w:r>
        <w:rPr>
          <w:rFonts w:hint="eastAsia" w:ascii="仿宋" w:hAnsi="仿宋" w:eastAsia="仿宋" w:cs="仿宋"/>
          <w:color w:val="auto"/>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2.付款方式</w:t>
      </w:r>
      <w:bookmarkStart w:id="31" w:name="_GoBack"/>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（1）全部产品安装调试完毕并验收合格后30日内，甲方向乙方支付合同总价款。</w:t>
      </w:r>
    </w:p>
    <w:bookmarkEnd w:id="31"/>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（2）由成交单位按照谈判文件中约定的付款方式向使用单位提出申请，征得西安市莲湖区财政局同意后，待财政拨付到位后可按文件中规定的付款方式进行结算。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rPr>
        <w:t>五、交货期：</w:t>
      </w:r>
      <w:r>
        <w:rPr>
          <w:rFonts w:hint="eastAsia" w:ascii="仿宋" w:hAnsi="仿宋" w:eastAsia="仿宋" w:cs="仿宋"/>
          <w:b/>
          <w:color w:val="auto"/>
          <w:szCs w:val="24"/>
          <w:highlight w:val="none"/>
          <w:u w:val="single"/>
        </w:rPr>
        <w:t>自合同签订之日起35个日历日完成全部项目内容，并交付采购人验收合格。</w:t>
      </w:r>
    </w:p>
    <w:p w14:paraId="51876A78">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六、质保期：</w:t>
      </w:r>
      <w:r>
        <w:rPr>
          <w:rFonts w:hint="eastAsia" w:ascii="仿宋" w:hAnsi="仿宋" w:eastAsia="仿宋" w:cs="仿宋"/>
          <w:b/>
          <w:color w:val="auto"/>
          <w:szCs w:val="24"/>
          <w:highlight w:val="none"/>
          <w:u w:val="single"/>
          <w:lang w:val="en-US" w:eastAsia="zh-CN"/>
        </w:rPr>
        <w:t>自验收合格之日起12个月</w:t>
      </w:r>
      <w:r>
        <w:rPr>
          <w:rFonts w:hint="eastAsia" w:ascii="仿宋" w:hAnsi="仿宋" w:eastAsia="仿宋" w:cs="仿宋"/>
          <w:b/>
          <w:color w:val="auto"/>
          <w:szCs w:val="24"/>
          <w:highlight w:val="none"/>
          <w:u w:val="single"/>
        </w:rPr>
        <w:t>。</w:t>
      </w:r>
    </w:p>
    <w:p w14:paraId="6A0920B1">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七、内容及要求</w:t>
      </w:r>
    </w:p>
    <w:p w14:paraId="552E526C">
      <w:pPr>
        <w:tabs>
          <w:tab w:val="left" w:pos="84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color w:val="auto"/>
          <w:szCs w:val="24"/>
          <w:highlight w:val="none"/>
        </w:rPr>
      </w:pPr>
      <w:bookmarkStart w:id="0" w:name="_Toc6161"/>
      <w:bookmarkStart w:id="1" w:name="_Toc18856"/>
      <w:bookmarkStart w:id="2" w:name="_Toc13024"/>
      <w:r>
        <w:rPr>
          <w:rFonts w:hint="eastAsia" w:ascii="仿宋" w:hAnsi="仿宋" w:eastAsia="仿宋" w:cs="仿宋"/>
          <w:b/>
          <w:color w:val="auto"/>
          <w:szCs w:val="24"/>
          <w:highlight w:val="none"/>
        </w:rPr>
        <w:t>供货内容一览表</w:t>
      </w:r>
      <w:bookmarkEnd w:id="0"/>
      <w:bookmarkEnd w:id="1"/>
      <w:bookmarkEnd w:id="2"/>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color w:val="auto"/>
                <w:szCs w:val="24"/>
                <w:highlight w:val="none"/>
              </w:rPr>
            </w:pPr>
            <w:bookmarkStart w:id="3" w:name="_Toc27392"/>
            <w:bookmarkStart w:id="4" w:name="_Toc16506"/>
            <w:bookmarkStart w:id="5" w:name="_Toc21512"/>
            <w:bookmarkStart w:id="6" w:name="_Toc30417"/>
            <w:r>
              <w:rPr>
                <w:rFonts w:hint="eastAsia" w:ascii="仿宋" w:hAnsi="仿宋" w:eastAsia="仿宋" w:cs="仿宋"/>
                <w:b/>
                <w:color w:val="auto"/>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color w:val="auto"/>
                <w:szCs w:val="24"/>
                <w:highlight w:val="none"/>
              </w:rPr>
            </w:pPr>
            <w:bookmarkStart w:id="7" w:name="_Toc15345"/>
            <w:bookmarkStart w:id="8" w:name="_Toc109"/>
            <w:bookmarkStart w:id="9" w:name="_Toc27421"/>
            <w:bookmarkStart w:id="10" w:name="_Toc8981"/>
            <w:r>
              <w:rPr>
                <w:rFonts w:hint="eastAsia" w:ascii="仿宋" w:hAnsi="仿宋" w:eastAsia="仿宋" w:cs="仿宋"/>
                <w:b/>
                <w:color w:val="auto"/>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color w:val="auto"/>
                <w:szCs w:val="24"/>
                <w:highlight w:val="none"/>
              </w:rPr>
            </w:pPr>
            <w:bookmarkStart w:id="11" w:name="_Toc14127"/>
            <w:bookmarkStart w:id="12" w:name="_Toc20611"/>
            <w:bookmarkStart w:id="13" w:name="_Toc10570"/>
            <w:bookmarkStart w:id="14" w:name="_Toc14339"/>
            <w:r>
              <w:rPr>
                <w:rFonts w:hint="eastAsia" w:ascii="仿宋" w:hAnsi="仿宋" w:eastAsia="仿宋" w:cs="仿宋"/>
                <w:b/>
                <w:color w:val="auto"/>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color w:val="auto"/>
                <w:szCs w:val="24"/>
                <w:highlight w:val="none"/>
              </w:rPr>
            </w:pPr>
            <w:bookmarkStart w:id="15" w:name="_Toc15777"/>
            <w:bookmarkStart w:id="16" w:name="_Toc31109"/>
            <w:bookmarkStart w:id="17" w:name="_Toc879"/>
            <w:bookmarkStart w:id="18" w:name="_Toc21991"/>
            <w:r>
              <w:rPr>
                <w:rFonts w:hint="eastAsia" w:ascii="仿宋" w:hAnsi="仿宋" w:eastAsia="仿宋" w:cs="仿宋"/>
                <w:b/>
                <w:color w:val="auto"/>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color w:val="auto"/>
                <w:szCs w:val="24"/>
                <w:highlight w:val="none"/>
              </w:rPr>
            </w:pPr>
            <w:bookmarkStart w:id="19" w:name="_Toc28024"/>
            <w:bookmarkStart w:id="20" w:name="_Toc12748"/>
            <w:bookmarkStart w:id="21" w:name="_Toc23428"/>
            <w:bookmarkStart w:id="22" w:name="_Toc6689"/>
            <w:r>
              <w:rPr>
                <w:rFonts w:hint="eastAsia" w:ascii="仿宋" w:hAnsi="仿宋" w:eastAsia="仿宋" w:cs="仿宋"/>
                <w:b/>
                <w:color w:val="auto"/>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color w:val="auto"/>
                <w:szCs w:val="24"/>
                <w:highlight w:val="none"/>
              </w:rPr>
            </w:pPr>
            <w:bookmarkStart w:id="23" w:name="_Toc10344"/>
            <w:bookmarkStart w:id="24" w:name="_Toc2991"/>
            <w:bookmarkStart w:id="25" w:name="_Toc916"/>
            <w:bookmarkStart w:id="26" w:name="_Toc21882"/>
            <w:r>
              <w:rPr>
                <w:rFonts w:hint="eastAsia" w:ascii="仿宋" w:hAnsi="仿宋" w:eastAsia="仿宋" w:cs="仿宋"/>
                <w:b/>
                <w:color w:val="auto"/>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color w:val="auto"/>
                <w:szCs w:val="24"/>
                <w:highlight w:val="none"/>
              </w:rPr>
            </w:pPr>
            <w:bookmarkStart w:id="27" w:name="_Toc31273"/>
            <w:bookmarkStart w:id="28" w:name="_Toc10193"/>
            <w:bookmarkStart w:id="29" w:name="_Toc17703"/>
            <w:bookmarkStart w:id="30" w:name="_Toc18945"/>
            <w:r>
              <w:rPr>
                <w:rFonts w:hint="eastAsia" w:ascii="仿宋" w:hAnsi="仿宋" w:eastAsia="仿宋" w:cs="仿宋"/>
                <w:b/>
                <w:color w:val="auto"/>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color w:val="auto"/>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color w:val="auto"/>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color w:val="auto"/>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color w:val="auto"/>
                <w:szCs w:val="24"/>
                <w:highlight w:val="none"/>
              </w:rPr>
            </w:pPr>
          </w:p>
        </w:tc>
      </w:tr>
    </w:tbl>
    <w:p w14:paraId="7E9E4C4E">
      <w:pPr>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 xml:space="preserve">八、运输、安装、调试要求 </w:t>
      </w:r>
    </w:p>
    <w:p w14:paraId="7F274D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九、技术支持</w:t>
      </w:r>
    </w:p>
    <w:p w14:paraId="4820615F">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供应商提供质保期内指派专业讲师对学校技术管理人员、学校相关教师进行线下培训，并提供线上7*24小时指导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szCs w:val="24"/>
          <w:highlight w:val="none"/>
        </w:rPr>
        <w:t>技术培训</w:t>
      </w:r>
    </w:p>
    <w:p w14:paraId="12B8A7D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应包括产品使用操作、保养、维修等培训内容。供应商需</w:t>
      </w:r>
      <w:r>
        <w:rPr>
          <w:rFonts w:hint="eastAsia" w:ascii="仿宋" w:hAnsi="仿宋" w:eastAsia="仿宋" w:cs="仿宋"/>
          <w:color w:val="auto"/>
          <w:highlight w:val="none"/>
        </w:rPr>
        <w:t>按采购人要求的时间为</w:t>
      </w:r>
      <w:r>
        <w:rPr>
          <w:rFonts w:hint="eastAsia" w:ascii="仿宋" w:hAnsi="仿宋" w:eastAsia="仿宋" w:cs="仿宋"/>
          <w:color w:val="auto"/>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十一、技术资料要求</w:t>
      </w:r>
    </w:p>
    <w:p w14:paraId="697574C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供应商应向采购人提供全套中文技术资料一套，其费用包括在</w:t>
      </w:r>
      <w:r>
        <w:rPr>
          <w:rFonts w:hint="eastAsia" w:ascii="仿宋" w:hAnsi="仿宋" w:eastAsia="仿宋" w:cs="仿宋"/>
          <w:color w:val="auto"/>
          <w:szCs w:val="24"/>
          <w:highlight w:val="none"/>
        </w:rPr>
        <w:t>谈判</w:t>
      </w:r>
      <w:r>
        <w:rPr>
          <w:rFonts w:hint="eastAsia" w:ascii="仿宋" w:hAnsi="仿宋" w:eastAsia="仿宋" w:cs="仿宋"/>
          <w:color w:val="auto"/>
          <w:szCs w:val="22"/>
          <w:highlight w:val="none"/>
        </w:rPr>
        <w:t>价格中：</w:t>
      </w:r>
    </w:p>
    <w:p w14:paraId="6C4646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3.产品验收标准；</w:t>
      </w:r>
    </w:p>
    <w:p w14:paraId="1AE82F0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4.技术说明书及必需的其它技术资料；</w:t>
      </w:r>
    </w:p>
    <w:p w14:paraId="5EE0E05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5.产品安装，调试、维修线路图及原理图；</w:t>
      </w:r>
    </w:p>
    <w:p w14:paraId="0BF219F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6.零部件目录；</w:t>
      </w:r>
    </w:p>
    <w:p w14:paraId="4418C1A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7.备品备件、易损件清单；</w:t>
      </w:r>
    </w:p>
    <w:p w14:paraId="0D39264E">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8.整体验收后提供验收报告；</w:t>
      </w:r>
    </w:p>
    <w:p w14:paraId="3E8D6A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9.合同中要求的其他文件资料；</w:t>
      </w:r>
    </w:p>
    <w:p w14:paraId="32356AA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10.检定/校准报告。</w:t>
      </w:r>
    </w:p>
    <w:p w14:paraId="46AE8FFC">
      <w:pPr>
        <w:spacing w:line="360" w:lineRule="auto"/>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甲方的权利与义务</w:t>
      </w:r>
    </w:p>
    <w:p w14:paraId="1EEFD6D3">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2.为乙方提供现场安装材料存放场地。</w:t>
      </w:r>
    </w:p>
    <w:p w14:paraId="050BB3B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乙方的权利与义务</w:t>
      </w:r>
    </w:p>
    <w:p w14:paraId="3A0971A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color w:val="auto"/>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、质量保证</w:t>
      </w:r>
    </w:p>
    <w:p w14:paraId="0E27FD1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1.供应商</w:t>
      </w:r>
      <w:r>
        <w:rPr>
          <w:rFonts w:hint="eastAsia" w:ascii="仿宋" w:hAnsi="仿宋" w:eastAsia="仿宋" w:cs="仿宋"/>
          <w:color w:val="auto"/>
          <w:highlight w:val="none"/>
        </w:rPr>
        <w:t>提供的</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及材料必须保证质量可靠，为市场最新或主流</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，进货渠道正常，配置合理齐全，应全面满足竞争性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文件的要求，竞争性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文件未明确要求的内容，供应商须按采购</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color w:val="auto"/>
          <w:szCs w:val="21"/>
          <w:highlight w:val="none"/>
        </w:rPr>
        <w:t>。</w:t>
      </w:r>
    </w:p>
    <w:p w14:paraId="6B53F473">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7</w:t>
      </w:r>
      <w:r>
        <w:rPr>
          <w:rFonts w:hint="eastAsia" w:ascii="仿宋" w:hAnsi="仿宋" w:eastAsia="仿宋" w:cs="仿宋"/>
          <w:color w:val="auto"/>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lang w:val="en-US" w:eastAsia="zh-CN"/>
        </w:rPr>
        <w:t>8</w:t>
      </w:r>
      <w:r>
        <w:rPr>
          <w:rFonts w:hint="eastAsia" w:ascii="仿宋" w:hAnsi="仿宋" w:eastAsia="仿宋" w:cs="仿宋"/>
          <w:color w:val="auto"/>
          <w:szCs w:val="24"/>
          <w:highlight w:val="none"/>
        </w:rPr>
        <w:t>.</w:t>
      </w:r>
      <w:r>
        <w:rPr>
          <w:rFonts w:hint="eastAsia" w:ascii="仿宋" w:hAnsi="仿宋" w:eastAsia="仿宋" w:cs="仿宋"/>
          <w:color w:val="auto"/>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9</w:t>
      </w:r>
      <w:r>
        <w:rPr>
          <w:rFonts w:hint="eastAsia" w:ascii="仿宋" w:hAnsi="仿宋" w:eastAsia="仿宋" w:cs="仿宋"/>
          <w:color w:val="auto"/>
          <w:szCs w:val="24"/>
          <w:highlight w:val="none"/>
        </w:rPr>
        <w:t>.质保期为</w:t>
      </w:r>
      <w:r>
        <w:rPr>
          <w:rFonts w:hint="eastAsia" w:ascii="仿宋" w:hAnsi="仿宋" w:eastAsia="仿宋" w:cs="仿宋"/>
          <w:color w:val="auto"/>
          <w:szCs w:val="24"/>
          <w:highlight w:val="none"/>
          <w:u w:val="none"/>
          <w:lang w:val="en-US" w:eastAsia="zh-CN"/>
        </w:rPr>
        <w:t>12个月</w:t>
      </w:r>
      <w:r>
        <w:rPr>
          <w:rFonts w:hint="eastAsia" w:ascii="仿宋" w:hAnsi="仿宋" w:eastAsia="仿宋" w:cs="仿宋"/>
          <w:color w:val="auto"/>
          <w:szCs w:val="24"/>
          <w:highlight w:val="none"/>
        </w:rPr>
        <w:t>，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10</w:t>
      </w:r>
      <w:r>
        <w:rPr>
          <w:rFonts w:hint="eastAsia" w:ascii="仿宋" w:hAnsi="仿宋" w:eastAsia="仿宋" w:cs="仿宋"/>
          <w:color w:val="auto"/>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11</w:t>
      </w:r>
      <w:r>
        <w:rPr>
          <w:rFonts w:hint="eastAsia" w:ascii="仿宋" w:hAnsi="仿宋" w:eastAsia="仿宋" w:cs="仿宋"/>
          <w:color w:val="auto"/>
          <w:szCs w:val="24"/>
          <w:highlight w:val="none"/>
        </w:rPr>
        <w:t>.乙方对其所售产品负责备品配件的供应,长期提供维修服务。</w:t>
      </w:r>
    </w:p>
    <w:p w14:paraId="46E92CC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w:t>
      </w:r>
      <w:r>
        <w:rPr>
          <w:rFonts w:hint="eastAsia" w:ascii="仿宋" w:hAnsi="仿宋" w:eastAsia="仿宋" w:cs="仿宋"/>
          <w:b/>
          <w:bCs/>
          <w:color w:val="auto"/>
          <w:szCs w:val="24"/>
          <w:highlight w:val="none"/>
        </w:rPr>
        <w:t>验收</w:t>
      </w:r>
    </w:p>
    <w:p w14:paraId="01B340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五</w:t>
      </w:r>
      <w:r>
        <w:rPr>
          <w:rFonts w:hint="eastAsia" w:ascii="仿宋" w:hAnsi="仿宋" w:eastAsia="仿宋" w:cs="仿宋"/>
          <w:b/>
          <w:color w:val="auto"/>
          <w:szCs w:val="24"/>
          <w:highlight w:val="none"/>
        </w:rPr>
        <w:t>、保密</w:t>
      </w:r>
    </w:p>
    <w:p w14:paraId="15B91960">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六</w:t>
      </w:r>
      <w:r>
        <w:rPr>
          <w:rFonts w:hint="eastAsia" w:ascii="仿宋" w:hAnsi="仿宋" w:eastAsia="仿宋" w:cs="仿宋"/>
          <w:b/>
          <w:color w:val="auto"/>
          <w:szCs w:val="24"/>
          <w:highlight w:val="none"/>
        </w:rPr>
        <w:t>、知识产权</w:t>
      </w:r>
    </w:p>
    <w:p w14:paraId="6439C96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七</w:t>
      </w:r>
      <w:r>
        <w:rPr>
          <w:rFonts w:hint="eastAsia" w:ascii="仿宋" w:hAnsi="仿宋" w:eastAsia="仿宋" w:cs="仿宋"/>
          <w:b/>
          <w:color w:val="auto"/>
          <w:szCs w:val="24"/>
          <w:highlight w:val="none"/>
        </w:rPr>
        <w:t>、合同争议的解决</w:t>
      </w:r>
    </w:p>
    <w:p w14:paraId="28D501D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八</w:t>
      </w:r>
      <w:r>
        <w:rPr>
          <w:rFonts w:hint="eastAsia" w:ascii="仿宋" w:hAnsi="仿宋" w:eastAsia="仿宋" w:cs="仿宋"/>
          <w:b/>
          <w:bCs/>
          <w:color w:val="auto"/>
          <w:szCs w:val="24"/>
          <w:highlight w:val="none"/>
        </w:rPr>
        <w:t>、不可抗力情况下的免责约定</w:t>
      </w:r>
    </w:p>
    <w:p w14:paraId="22B2783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九</w:t>
      </w:r>
      <w:r>
        <w:rPr>
          <w:rFonts w:hint="eastAsia" w:ascii="仿宋" w:hAnsi="仿宋" w:eastAsia="仿宋" w:cs="仿宋"/>
          <w:b/>
          <w:color w:val="auto"/>
          <w:szCs w:val="24"/>
          <w:highlight w:val="none"/>
        </w:rPr>
        <w:t>、违约责任</w:t>
      </w:r>
    </w:p>
    <w:p w14:paraId="07FF647E">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lang w:val="en-US" w:eastAsia="zh-CN"/>
        </w:rPr>
        <w:t>二</w:t>
      </w:r>
      <w:r>
        <w:rPr>
          <w:rFonts w:hint="eastAsia" w:ascii="仿宋" w:hAnsi="仿宋" w:eastAsia="仿宋" w:cs="仿宋"/>
          <w:b/>
          <w:color w:val="auto"/>
          <w:szCs w:val="24"/>
          <w:highlight w:val="none"/>
        </w:rPr>
        <w:t>十、其他（</w:t>
      </w:r>
      <w:r>
        <w:rPr>
          <w:rFonts w:hint="eastAsia" w:ascii="仿宋" w:hAnsi="仿宋" w:eastAsia="仿宋" w:cs="仿宋"/>
          <w:color w:val="auto"/>
          <w:szCs w:val="24"/>
          <w:highlight w:val="none"/>
        </w:rPr>
        <w:t>在合同中具体明确）</w:t>
      </w:r>
    </w:p>
    <w:p w14:paraId="5A3F96C9">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一</w:t>
      </w:r>
      <w:r>
        <w:rPr>
          <w:rFonts w:hint="eastAsia" w:ascii="仿宋" w:hAnsi="仿宋" w:eastAsia="仿宋" w:cs="仿宋"/>
          <w:b/>
          <w:color w:val="auto"/>
          <w:highlight w:val="none"/>
        </w:rPr>
        <w:t>、监督和管理</w:t>
      </w:r>
    </w:p>
    <w:p w14:paraId="73ABB96A">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lang w:eastAsia="zh-CN"/>
        </w:rPr>
        <w:t>1.</w:t>
      </w:r>
      <w:r>
        <w:rPr>
          <w:rFonts w:hint="eastAsia" w:ascii="仿宋" w:hAnsi="仿宋" w:eastAsia="仿宋" w:cs="仿宋"/>
          <w:bCs/>
          <w:color w:val="auto"/>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lang w:eastAsia="zh-CN"/>
        </w:rPr>
        <w:t>2.</w:t>
      </w:r>
      <w:r>
        <w:rPr>
          <w:rFonts w:hint="eastAsia" w:ascii="仿宋" w:hAnsi="仿宋" w:eastAsia="仿宋" w:cs="仿宋"/>
          <w:color w:val="auto"/>
          <w:highlight w:val="none"/>
        </w:rPr>
        <w:t>采购人供应商</w:t>
      </w:r>
      <w:r>
        <w:rPr>
          <w:rFonts w:hint="eastAsia" w:ascii="仿宋" w:hAnsi="仿宋" w:eastAsia="仿宋" w:cs="仿宋"/>
          <w:bCs/>
          <w:color w:val="auto"/>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二</w:t>
      </w:r>
      <w:r>
        <w:rPr>
          <w:rFonts w:hint="eastAsia" w:ascii="仿宋" w:hAnsi="仿宋" w:eastAsia="仿宋" w:cs="仿宋"/>
          <w:b/>
          <w:color w:val="auto"/>
          <w:highlight w:val="none"/>
        </w:rPr>
        <w:t>、合同订立</w:t>
      </w:r>
    </w:p>
    <w:p w14:paraId="3D914D2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1.订立时间：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4326F1C">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D42141D">
      <w:pPr>
        <w:tabs>
          <w:tab w:val="left" w:pos="980"/>
        </w:tabs>
        <w:kinsoku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贰</w:t>
      </w:r>
      <w:r>
        <w:rPr>
          <w:rFonts w:hint="eastAsia" w:ascii="仿宋" w:hAnsi="仿宋" w:eastAsia="仿宋" w:cs="仿宋"/>
          <w:color w:val="auto"/>
          <w:highlight w:val="none"/>
        </w:rPr>
        <w:t xml:space="preserve">份采购代理机构存档 </w:t>
      </w:r>
      <w:r>
        <w:rPr>
          <w:rFonts w:hint="eastAsia" w:ascii="仿宋" w:hAnsi="仿宋" w:eastAsia="仿宋" w:cs="仿宋"/>
          <w:color w:val="auto"/>
          <w:highlight w:val="none"/>
          <w:u w:val="single"/>
        </w:rPr>
        <w:t xml:space="preserve">壹 </w:t>
      </w:r>
      <w:r>
        <w:rPr>
          <w:rFonts w:hint="eastAsia" w:ascii="仿宋" w:hAnsi="仿宋" w:eastAsia="仿宋" w:cs="仿宋"/>
          <w:color w:val="auto"/>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color w:val="auto"/>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color w:val="auto"/>
          <w:highlight w:val="none"/>
        </w:rPr>
      </w:pPr>
    </w:p>
    <w:p w14:paraId="0701D9C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采购人：</w:t>
      </w:r>
      <w:r>
        <w:rPr>
          <w:rFonts w:hint="eastAsia" w:ascii="仿宋" w:hAnsi="仿宋" w:eastAsia="仿宋" w:cs="仿宋"/>
          <w:color w:val="auto"/>
          <w:highlight w:val="none"/>
          <w:u w:val="single"/>
        </w:rPr>
        <w:t xml:space="preserve">   （盖章）      </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地 址：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地  址：</w:t>
      </w:r>
      <w:r>
        <w:rPr>
          <w:rFonts w:hint="eastAsia" w:ascii="仿宋" w:hAnsi="仿宋" w:eastAsia="仿宋" w:cs="仿宋"/>
          <w:color w:val="auto"/>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邮政编码：</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邮政编码：</w:t>
      </w:r>
      <w:r>
        <w:rPr>
          <w:rFonts w:hint="eastAsia" w:ascii="仿宋" w:hAnsi="仿宋" w:eastAsia="仿宋" w:cs="仿宋"/>
          <w:color w:val="auto"/>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开户银行：</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开户银行：</w:t>
      </w:r>
      <w:r>
        <w:rPr>
          <w:rFonts w:hint="eastAsia" w:ascii="仿宋" w:hAnsi="仿宋" w:eastAsia="仿宋" w:cs="仿宋"/>
          <w:color w:val="auto"/>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214E8A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电话：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电话：</w:t>
      </w:r>
      <w:r>
        <w:rPr>
          <w:rFonts w:hint="eastAsia" w:ascii="仿宋" w:hAnsi="仿宋" w:eastAsia="仿宋" w:cs="仿宋"/>
          <w:color w:val="auto"/>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传真：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传真：</w:t>
      </w:r>
      <w:r>
        <w:rPr>
          <w:rFonts w:hint="eastAsia" w:ascii="仿宋" w:hAnsi="仿宋" w:eastAsia="仿宋" w:cs="仿宋"/>
          <w:color w:val="auto"/>
          <w:highlight w:val="none"/>
          <w:u w:val="single"/>
        </w:rPr>
        <w:t xml:space="preserve">                       </w:t>
      </w:r>
    </w:p>
    <w:p w14:paraId="0C100CE3">
      <w:pPr>
        <w:ind w:firstLine="42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电子邮箱：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电子邮箱：</w:t>
      </w:r>
      <w:r>
        <w:rPr>
          <w:rFonts w:hint="eastAsia" w:ascii="仿宋" w:hAnsi="仿宋" w:eastAsia="仿宋" w:cs="仿宋"/>
          <w:color w:val="auto"/>
          <w:highlight w:val="none"/>
          <w:u w:val="single"/>
        </w:rPr>
        <w:t xml:space="preserve">                   </w:t>
      </w:r>
    </w:p>
    <w:p w14:paraId="79FA05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51B3D"/>
    <w:rsid w:val="2DD51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2025-12-08T07:17:00Z</dcterms:created>
  <dc:creator>苍白假面</dc:creator>
  <cp:lastModifiedBy>苍白假面</cp:lastModifiedBy>
  <dcterms:modified xsi:type="dcterms:W3CDTF">2025-12-08T07:17:33Z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02DCB3480E854DDB9D4CDECA0A46231D_11</vt:lpwstr>
  </property>
  <property fmtid="{D5CDD505-2E9C-101B-9397-08002B2CF9AE}" pid="4" name="KSOTemplateDocerSaveRecord">
    <vt:lpwstr>eyJoZGlkIjoiY2U1ZTlkNThkYmUxMjkwM2M5Y2E1YWM0NWQ1ZjUwMDUiLCJ1c2VySWQiOiIyNzI4NDY5MDUifQ==</vt:lpwstr>
  </property>
</Properties>
</file>