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版本号：PLRH2025-GP-095F20251103001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聘请大气污染治理“一区一策”专家团队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PLRH2025-GP-095F</w:t>
      </w:r>
      <w:r>
        <w:br/>
      </w:r>
      <w:r>
        <w:br/>
      </w:r>
      <w:r>
        <w:br/>
      </w:r>
    </w:p>
    <w:p>
      <w:pPr>
        <w:pStyle w:val="null3"/>
        <w:jc w:val="center"/>
        <w:outlineLvl w:val="2"/>
      </w:pPr>
      <w:r>
        <w:rPr>
          <w:rFonts w:ascii="仿宋_GB2312" w:hAnsi="仿宋_GB2312" w:cs="仿宋_GB2312" w:eastAsia="仿宋_GB2312"/>
          <w:sz w:val="28"/>
          <w:b/>
        </w:rPr>
        <w:t>西安市莲湖区机关事务服务中心</w:t>
      </w:r>
    </w:p>
    <w:p>
      <w:pPr>
        <w:pStyle w:val="null3"/>
        <w:jc w:val="center"/>
        <w:outlineLvl w:val="2"/>
      </w:pPr>
      <w:r>
        <w:rPr>
          <w:rFonts w:ascii="仿宋_GB2312" w:hAnsi="仿宋_GB2312" w:cs="仿宋_GB2312" w:eastAsia="仿宋_GB2312"/>
          <w:sz w:val="28"/>
          <w:b/>
        </w:rPr>
        <w:t>鹏领睿恒（陕西）项目管理有限公司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鹏领睿恒（陕西）项目管理有限公司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西安市莲湖区机关事务服务中心</w:t>
      </w:r>
      <w:r>
        <w:rPr>
          <w:rFonts w:ascii="仿宋_GB2312" w:hAnsi="仿宋_GB2312" w:cs="仿宋_GB2312" w:eastAsia="仿宋_GB2312"/>
        </w:rPr>
        <w:t>委托，拟对</w:t>
      </w:r>
      <w:r>
        <w:rPr>
          <w:rFonts w:ascii="仿宋_GB2312" w:hAnsi="仿宋_GB2312" w:cs="仿宋_GB2312" w:eastAsia="仿宋_GB2312"/>
        </w:rPr>
        <w:t>聘请大气污染治理“一区一策”专家团队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PLRH2025-GP-095F</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聘请大气污染治理“一区一策”专家团队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2023年以来莲湖区大气污染形势严峻，颗粒物（PM10、PM2.5）、氮氧化物等多项指标浓度较高，综合指数在西安市区县考核中排名靠后。2024年，莲湖区六项污染物“四降两平”，综合指数同比改善9.82%，但是与西安市其他区县相比，综合指数排名倒3，改善幅度略有不足。综合指数、PM2.5、PM10和NO2浓度高，排名较差，且PM2.5占PM10比重较低，表明粗颗粒物（以扬尘源为代表）污染较重。PM2.5、O3-8H改善幅度最小，分别为1.1%、0.4%，其中O3-8H（90分位）浓度仅下降0.7微克/立方米，臭氧污染形势依旧严峻。2025年上半年，NO2、O3-8H等污染问题依然存在，改善幅度在西安市区县中不占优势，因臭氧临界损失多天 优良天。整体来看，2024-2025年莲湖区各项污染物浓度均处于较高水平，呈现以PM10、NO2为主的一次污染物与以PM2.5和O3为主的二次污染物并存的复合型大气污染状况，污染成因复杂，治理难度大。 为应对复杂的复合污染现状，实现大气污染的精细化管控，需引进第三方服务团队，通过监测溯源、专家咨询、靶向治源等服务，用科学方法和先进技术手段，进一步提升我区大气污染防治工作科学化、精准化水平，推动我区空气环境质量持续改善。</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采购包1（聘请大气污染治理“一区一策”专家团队）：属于专门面向中小企业采购。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投标文件截止时间不足一年的可提供成立后任意时段的资产负债表），或其基本存款账户开户银行出具的资信证明及基本存款账户开户许可证（基本账户信息表）；（注：各供应商经审计的财务会计报告需赋加二维码）</w:t>
      </w:r>
    </w:p>
    <w:p>
      <w:pPr>
        <w:pStyle w:val="null3"/>
      </w:pPr>
      <w:r>
        <w:rPr>
          <w:rFonts w:ascii="仿宋_GB2312" w:hAnsi="仿宋_GB2312" w:cs="仿宋_GB2312" w:eastAsia="仿宋_GB2312"/>
        </w:rPr>
        <w:t>3、税收缴纳证明：提供2025年4月至今已缴纳的至少一个月的纳税证明或完税证明（任意税种），依法免税的单位应提供相关证明材料；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4、社会保障资金缴纳证明：提供2025年4月至今已缴存的至少一个月的社会保障资金缴存单据或社保机构开具的社会保险参保缴费情况证明，依法不需要缴纳社会保障资金的单位应提供相关证明材料；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8、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投标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9、联合体：本项目不接受联合体投标；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西安市莲湖区机关事务服务中心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西安市莲湖区北院门159号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029-88632762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鹏领睿恒（陕西）项目管理有限公司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西安市经济技术开发区元鼎路明丰伯马都A座1707室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029-65656686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不足8000元的，按8000元计取。 2.由中标单位承担招标代理服务费，中标单位在领取中标通知书前，须向采购代理机构一次性支付招标代理服务费。 开户名称：鹏领睿恒(陕西)项目管理有限公司； 开户银行：129911262210701； 账 号：招商银行西安枫林绿洲支行；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西安市莲湖区机关事务服务中心</w:t>
      </w:r>
      <w:r>
        <w:rPr>
          <w:rFonts w:ascii="仿宋_GB2312" w:hAnsi="仿宋_GB2312" w:cs="仿宋_GB2312" w:eastAsia="仿宋_GB2312"/>
        </w:rPr>
        <w:t>和</w:t>
      </w:r>
      <w:r>
        <w:rPr>
          <w:rFonts w:ascii="仿宋_GB2312" w:hAnsi="仿宋_GB2312" w:cs="仿宋_GB2312" w:eastAsia="仿宋_GB2312"/>
        </w:rPr>
        <w:t>鹏领睿恒（陕西）项目管理有限公司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西安市莲湖区机关事务服务中心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鹏领睿恒（陕西）项目管理有限公司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西安市莲湖区机关事务服务中心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鹏领睿恒（陕西）项目管理有限公司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联系电话：029-65656686</w:t>
      </w:r>
    </w:p>
    <w:p>
      <w:pPr>
        <w:pStyle w:val="null3"/>
      </w:pPr>
      <w:r>
        <w:rPr>
          <w:rFonts w:ascii="仿宋_GB2312" w:hAnsi="仿宋_GB2312" w:cs="仿宋_GB2312" w:eastAsia="仿宋_GB2312"/>
        </w:rPr>
        <w:t>地址：西安市经济技术开发区元鼎路明丰伯马都A座1707室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2023年以来莲湖区大气污染形势严峻，颗粒物（PM10、PM2.5）、氮氧化物等多项指标浓度较高，综合指数在西安市区县考核中排名靠后。2024年，莲湖区六项污染物“四降两平”，综合指数同比改善9.82%，但是与西安市其他区县相比，综合指数排名倒3，改善幅度略有不足。综合指数、PM2.5、PM10和NO2浓度高，排名较差，且PM2.5占PM10比重较低，表明粗颗粒物（以扬尘源为代表）污染较重。PM2.5、O3-8H改善幅度最小，分别为1.1%、0.4%，其中O3-8H（90分位）浓度仅下降0.7微克/立方米，臭氧污染形势依旧严峻。2025年上半年，NO2、O3-8H等污染问题依然存在，改善幅度在西安市区县中不占优势，因臭氧临界损失多天 优良天。整体来看，2024-2025年莲湖区各项污染物浓度均处于较高水平，呈现以PM10、NO2为主的一次污染物与以PM2.5和O3为主的二次污染物并存的复合型大气污染状况，污染成因复杂，治理难度大。 为应对复杂的复合污染现状，实现大气污染的精细化管控，需引进第三方服务团队，通过监测溯源、专家咨询、靶向治源等服务，用科学方法和先进技术手段，进一步提升我区大气污染防治工作科学化、精准化水平，推动我区空气环境质量持续改善</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3,500,000.00</w:t>
      </w:r>
    </w:p>
    <w:p>
      <w:pPr>
        <w:pStyle w:val="null3"/>
      </w:pPr>
      <w:r>
        <w:rPr>
          <w:rFonts w:ascii="仿宋_GB2312" w:hAnsi="仿宋_GB2312" w:cs="仿宋_GB2312" w:eastAsia="仿宋_GB2312"/>
        </w:rPr>
        <w:t>采购包最高限价（元）: 3,500,000.00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聘请大气污染治理“一区一策”专家团队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标的名称：聘请大气污染治理“一区一策”专家团队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一、服务内容</w:t>
            </w:r>
          </w:p>
          <w:p>
            <w:pPr>
              <w:pStyle w:val="null3"/>
            </w:pPr>
            <w:r>
              <w:rPr>
                <w:rFonts w:ascii="仿宋_GB2312" w:hAnsi="仿宋_GB2312" w:cs="仿宋_GB2312" w:eastAsia="仿宋_GB2312"/>
              </w:rPr>
              <w:t>（一）大气污染立体监测服务</w:t>
            </w:r>
          </w:p>
          <w:p>
            <w:pPr>
              <w:pStyle w:val="null3"/>
            </w:pPr>
            <w:r>
              <w:rPr>
                <w:rFonts w:ascii="仿宋_GB2312" w:hAnsi="仿宋_GB2312" w:cs="仿宋_GB2312" w:eastAsia="仿宋_GB2312"/>
              </w:rPr>
              <w:t>1.高性能车载移动空气质量监测分析服务。为快速获得重点区域近地面各污染物浓度时空分布，明确莲湖区污染控制重点区域，要求开展高性能车载移动空气质量走航监测，同时监测多种空气污染物，包括PM2.5、PM10、SO2、NO2、CO、O3。要求在莲湖区提供车载移动空气监测仪走航观测分析服务，共计15天</w:t>
            </w:r>
          </w:p>
          <w:p>
            <w:pPr>
              <w:pStyle w:val="null3"/>
            </w:pPr>
            <w:r>
              <w:rPr>
                <w:rFonts w:ascii="仿宋_GB2312" w:hAnsi="仿宋_GB2312" w:cs="仿宋_GB2312" w:eastAsia="仿宋_GB2312"/>
              </w:rPr>
              <w:t>2.VOCs走航监测。为实时分析环境空气中的有机物，锁定污染点位，快速、精准和高效的指导精细化管控，要求开展VOCs走航监测，结合最大增量反应活性等方法，对各行业的臭氧生成潜势（OFP）进行定量分析，识别莲湖区不同区域对臭氧潜在生成贡献最大的活性物种。提供有效的VOCs走航服务30天。</w:t>
            </w:r>
          </w:p>
          <w:p>
            <w:pPr>
              <w:pStyle w:val="null3"/>
            </w:pPr>
            <w:r>
              <w:rPr>
                <w:rFonts w:ascii="仿宋_GB2312" w:hAnsi="仿宋_GB2312" w:cs="仿宋_GB2312" w:eastAsia="仿宋_GB2312"/>
              </w:rPr>
              <w:t>3.道路尘负荷走航监测。采用车载式道路积尘负荷监测系统为核心设备，对辖区内所有主干道、次干道、支路及重点区域周边道路（如施工工地、物流通道、城乡结合部道路）进行全覆盖走航巡查，确保无监测盲区，绘制道路积尘负荷空间分布热力图，实现污染空间分布可视化。计划开展不少于24次的走航监测。</w:t>
            </w:r>
          </w:p>
          <w:p>
            <w:pPr>
              <w:pStyle w:val="null3"/>
            </w:pPr>
            <w:r>
              <w:rPr>
                <w:rFonts w:ascii="仿宋_GB2312" w:hAnsi="仿宋_GB2312" w:cs="仿宋_GB2312" w:eastAsia="仿宋_GB2312"/>
              </w:rPr>
              <w:t>4.无人机空气质量巡航监测。搭载高集成度六参数空气质量微型监测模块，可实时监测PM2.5、PM10、SO2、NO2、O3、CO等六项常规污染物，具备秒级响应与ppb级检测精度。实现垂直剖面与水平网格复合监测。配备高效数据链，实现监测数据实时回传与地面端可视化，支撑在线研判与任务动态调整。</w:t>
            </w:r>
          </w:p>
          <w:p>
            <w:pPr>
              <w:pStyle w:val="null3"/>
            </w:pPr>
            <w:r>
              <w:rPr>
                <w:rFonts w:ascii="仿宋_GB2312" w:hAnsi="仿宋_GB2312" w:cs="仿宋_GB2312" w:eastAsia="仿宋_GB2312"/>
              </w:rPr>
              <w:t>（二）城市环境应急监测服务</w:t>
            </w:r>
          </w:p>
          <w:p>
            <w:pPr>
              <w:pStyle w:val="null3"/>
            </w:pPr>
            <w:r>
              <w:rPr>
                <w:rFonts w:ascii="仿宋_GB2312" w:hAnsi="仿宋_GB2312" w:cs="仿宋_GB2312" w:eastAsia="仿宋_GB2312"/>
              </w:rPr>
              <w:t>1.便携式手持检测仪器。采用手持设备，作为环境国省控站、街办站点、道路走航监测的补充，实时监测PM10、PM2.5、TVOCs等7项指标，在发现监测异常后，迅速响应，实现污染源排查、偷排漏排违法取证工作，通过信息共享，减少污染源排放。最终形成工作简报，以工作信息台账的形式输出。</w:t>
            </w:r>
          </w:p>
          <w:p>
            <w:pPr>
              <w:pStyle w:val="null3"/>
            </w:pPr>
            <w:r>
              <w:rPr>
                <w:rFonts w:ascii="仿宋_GB2312" w:hAnsi="仿宋_GB2312" w:cs="仿宋_GB2312" w:eastAsia="仿宋_GB2312"/>
              </w:rPr>
              <w:t>2.餐饮油烟检测仪。5-9月期间，对重点区域涉油烟餐饮门店开展月度专项排查行动。本次行动旨在通过技术手段强化监管，督促餐饮企业规范运维净化设施，确保油烟达标排放，逐步建立长效管理机制。</w:t>
            </w:r>
          </w:p>
          <w:p>
            <w:pPr>
              <w:pStyle w:val="null3"/>
            </w:pPr>
            <w:r>
              <w:rPr>
                <w:rFonts w:ascii="仿宋_GB2312" w:hAnsi="仿宋_GB2312" w:cs="仿宋_GB2312" w:eastAsia="仿宋_GB2312"/>
              </w:rPr>
              <w:t>3.便携式VOCs检测仪。选用光离子化检测仪（PID） 现场快速检测设备，具备高灵敏度、秒级响应及直接读数能力，可对上百种VOCs组分进行定性或半定量分析。于5-9月臭氧污染高发季，聚焦工业企业、大型汽修厂、印刷企业及油品储运销等重点行业，每月组织1-2次“点穴式”执法检查，</w:t>
            </w:r>
          </w:p>
          <w:p>
            <w:pPr>
              <w:pStyle w:val="null3"/>
            </w:pPr>
            <w:r>
              <w:rPr>
                <w:rFonts w:ascii="仿宋_GB2312" w:hAnsi="仿宋_GB2312" w:cs="仿宋_GB2312" w:eastAsia="仿宋_GB2312"/>
              </w:rPr>
              <w:t>（三）精准化决策咨询服务</w:t>
            </w:r>
          </w:p>
          <w:p>
            <w:pPr>
              <w:pStyle w:val="null3"/>
            </w:pPr>
            <w:r>
              <w:rPr>
                <w:rFonts w:ascii="仿宋_GB2312" w:hAnsi="仿宋_GB2312" w:cs="仿宋_GB2312" w:eastAsia="仿宋_GB2312"/>
              </w:rPr>
              <w:t>1.精准化决策咨询服务。专业技术服务团队不少于3人，具备环境工程和环境科学等相关专业学历，项目经理具备丰富的项目管理和大气污染防治经验，项目成员具备扎实的大气污染防治经验，提供7*24小时的空气质量保障服务。</w:t>
            </w:r>
          </w:p>
          <w:p>
            <w:pPr>
              <w:pStyle w:val="null3"/>
            </w:pPr>
            <w:r>
              <w:rPr>
                <w:rFonts w:ascii="仿宋_GB2312" w:hAnsi="仿宋_GB2312" w:cs="仿宋_GB2312" w:eastAsia="仿宋_GB2312"/>
              </w:rPr>
              <w:t>2.空气质量精细化预测预报。基于统计预报开展空气污染模式预报，在初步形成莲湖区预报模式后，基于动态统计预报及预报结果人工订正，全面提升预报准确度，进一步提供精准预报预警，精准预判污染指标浓度变化趋势，在支撑政府启动应急管控精准施策、督促企业停限产/恢复生产、区域联防联控、保障公众身心健康等方面具有重要作用，是有效应对污染天气的重要基础。同时统计分析预报结果的准确度，进一步提升预报准确性。</w:t>
            </w:r>
          </w:p>
          <w:p>
            <w:pPr>
              <w:pStyle w:val="null3"/>
            </w:pPr>
            <w:r>
              <w:rPr>
                <w:rFonts w:ascii="仿宋_GB2312" w:hAnsi="仿宋_GB2312" w:cs="仿宋_GB2312" w:eastAsia="仿宋_GB2312"/>
              </w:rPr>
              <w:t>3.大气污染现状定期分析。以莲湖区国、省控站点空气质量数据为核心，综合出租车走航、扬尘告警、热点网格、风向风速等数据，开展日常及阶段性空气质量定期分析，以“以时保日、以日保周、以周保月、以月保年”的工作思路，实时对空气质量状况和污染情况进行统计，开展日常空气质量数据分析。</w:t>
            </w:r>
          </w:p>
          <w:p>
            <w:pPr>
              <w:pStyle w:val="null3"/>
            </w:pPr>
            <w:r>
              <w:rPr>
                <w:rFonts w:ascii="仿宋_GB2312" w:hAnsi="仿宋_GB2312" w:cs="仿宋_GB2312" w:eastAsia="仿宋_GB2312"/>
              </w:rPr>
              <w:t>4.动态达标分析研判。结合省、市年度考核目标以及不同时段约谈要求及历史数据情况，针对六项污染物浓度进行月度目标设置，建立“轻微污染天气”保良工作机制，以支持以时保日、以日保周、以周保月、以月保年。</w:t>
            </w:r>
          </w:p>
          <w:p>
            <w:pPr>
              <w:pStyle w:val="null3"/>
            </w:pPr>
            <w:r>
              <w:rPr>
                <w:rFonts w:ascii="仿宋_GB2312" w:hAnsi="仿宋_GB2312" w:cs="仿宋_GB2312" w:eastAsia="仿宋_GB2312"/>
              </w:rPr>
              <w:t>5.污染过程分析。当出现污染天气时，结合地面气象条件、大气扩散条件、天气过程等气象因素及监测数据，分析污染成因。从污染天产生到解除的全过程，持续追踪地面观测数据、预测预警数据，掌握污染全过程形势；分析地面气象条件、大气扩散条件、天气过程等对主要大气污染物的影响，判别污染天气主要影响因素。</w:t>
            </w:r>
          </w:p>
          <w:p>
            <w:pPr>
              <w:pStyle w:val="null3"/>
            </w:pPr>
            <w:r>
              <w:rPr>
                <w:rFonts w:ascii="仿宋_GB2312" w:hAnsi="仿宋_GB2312" w:cs="仿宋_GB2312" w:eastAsia="仿宋_GB2312"/>
              </w:rPr>
              <w:t>6.空气质量综合分析。结合出租车走航、工地扬尘告警、道路积尘负荷走航、VOCs走航、热点网格等立体监测数据，进行综合研判分析，有效监控本地污染排放情况，并根据现有的数据，深度挖掘莲湖区大气复合污染特征与变化规律，厘清区域大气污染成因、来源及形成机制，并提出针对性防控措施。</w:t>
            </w:r>
          </w:p>
          <w:p>
            <w:pPr>
              <w:pStyle w:val="null3"/>
            </w:pPr>
            <w:r>
              <w:rPr>
                <w:rFonts w:ascii="仿宋_GB2312" w:hAnsi="仿宋_GB2312" w:cs="仿宋_GB2312" w:eastAsia="仿宋_GB2312"/>
              </w:rPr>
              <w:t>7.阶段性回顾分析与精细化管控对策研究服务。对大气污染形势进行定期回顾，找出问题，提出下阶段管控建议服务期内，专家组针对每月的环境空气质量现状、同比变化、区域排名、环境空气质量考核指标的可达性等进行分析；结合气象要素（如温度、湿度、气压、风速、风向、降水等）、污染源分布特征等分析气象条件、污染源排放等与空气质量变化的关联特征；形成阶段性空气质量分析报告并提出大气污染防治的针对性管控建议。</w:t>
            </w:r>
          </w:p>
          <w:p>
            <w:pPr>
              <w:pStyle w:val="null3"/>
            </w:pPr>
            <w:r>
              <w:rPr>
                <w:rFonts w:ascii="仿宋_GB2312" w:hAnsi="仿宋_GB2312" w:cs="仿宋_GB2312" w:eastAsia="仿宋_GB2312"/>
              </w:rPr>
              <w:t>8.会商服务。为更好开展空气质量预测预警及空气质量管控治理工作，建立环境空气质量会商研判机制，组织日常会商，针对大气污染防治过程中难点问题，开展专题研究会商，实施调整和优化工作计划。并通过区政府主要领导参加的调度会机制，推动各职能部门间的有机合作。</w:t>
            </w:r>
          </w:p>
          <w:p>
            <w:pPr>
              <w:pStyle w:val="null3"/>
            </w:pPr>
            <w:r>
              <w:rPr>
                <w:rFonts w:ascii="仿宋_GB2312" w:hAnsi="仿宋_GB2312" w:cs="仿宋_GB2312" w:eastAsia="仿宋_GB2312"/>
              </w:rPr>
              <w:t>9.大气污染防治专项攻坚服务。秋冬季开展颗粒物污染专项攻坚。基于工地扬尘告警、出租车走航等监测结果，锁定扬尘源，以保障站点监测数据为根本，对污染问题较多的站点周边3公里范围内污染源进行全天候24小时的实时监测。夏季依据臭氧污染应急管控方案，协助开展臭氧污染应急管控。首先按照预报模型预测的数值，确定是否开展应急管控；当明确启动应急管控后，重点关注前一天夜间NO2数据，白天12时开始关注臭氧、风向、风速等变化情况，并根据实时数据情况调度相关部门落实应急管控措施。</w:t>
            </w:r>
          </w:p>
          <w:p>
            <w:pPr>
              <w:pStyle w:val="null3"/>
            </w:pPr>
            <w:r>
              <w:rPr>
                <w:rFonts w:ascii="仿宋_GB2312" w:hAnsi="仿宋_GB2312" w:cs="仿宋_GB2312" w:eastAsia="仿宋_GB2312"/>
              </w:rPr>
              <w:t>10.重污染天气应急服务。在污染预警预报与污染应急管控方案基础上，通过建立“事前预判—事中督导—事后评估”的应急管控流程，进而开展颗粒物污染的差异化管控政策和措施。</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二、服务要求</w:t>
            </w:r>
          </w:p>
          <w:p>
            <w:pPr>
              <w:pStyle w:val="null3"/>
            </w:pPr>
            <w:r>
              <w:rPr>
                <w:rFonts w:ascii="仿宋_GB2312" w:hAnsi="仿宋_GB2312" w:cs="仿宋_GB2312" w:eastAsia="仿宋_GB2312"/>
              </w:rPr>
              <w:t>服务团队要求包括专家支持团队、驻场团队和后台科学分析团队，本项目要求提供至少现场专业人员3人（驻场经理1人，数据分析人员1人、巡查人员1人），后台专业技术支撑人员不少于20余人，包含技术指导、空气质量预警预报、企业治理咨询服务等。服务队通过对大气复合污染的特征和成因进行分析，在空间、时间、措施三个维度上搭建污染精细化调控和改善城市空气质量的关联关系，通过大量数据分析，为莲湖区大气污染提供科技支撑服务。</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三、商务要求</w:t>
            </w:r>
          </w:p>
          <w:p>
            <w:pPr>
              <w:pStyle w:val="null3"/>
            </w:pPr>
            <w:r>
              <w:rPr>
                <w:rFonts w:ascii="仿宋_GB2312" w:hAnsi="仿宋_GB2312" w:cs="仿宋_GB2312" w:eastAsia="仿宋_GB2312"/>
              </w:rPr>
              <w:t>1.服务期限：自合同签订之日起一年。</w:t>
            </w:r>
          </w:p>
          <w:p>
            <w:pPr>
              <w:pStyle w:val="null3"/>
            </w:pPr>
            <w:r>
              <w:rPr>
                <w:rFonts w:ascii="仿宋_GB2312" w:hAnsi="仿宋_GB2312" w:cs="仿宋_GB2312" w:eastAsia="仿宋_GB2312"/>
              </w:rPr>
              <w:t>2.服务地点：采购人指定地点。</w:t>
            </w:r>
          </w:p>
          <w:p>
            <w:pPr>
              <w:pStyle w:val="null3"/>
            </w:pPr>
            <w:r>
              <w:rPr>
                <w:rFonts w:ascii="仿宋_GB2312" w:hAnsi="仿宋_GB2312" w:cs="仿宋_GB2312" w:eastAsia="仿宋_GB2312"/>
              </w:rPr>
              <w:t>3.付款方式：（1）合同签订后，支付合同总金额的40%作为预付款；</w:t>
            </w:r>
          </w:p>
          <w:p>
            <w:pPr>
              <w:pStyle w:val="null3"/>
            </w:pPr>
            <w:r>
              <w:rPr>
                <w:rFonts w:ascii="仿宋_GB2312" w:hAnsi="仿宋_GB2312" w:cs="仿宋_GB2312" w:eastAsia="仿宋_GB2312"/>
              </w:rPr>
              <w:t>（2）第一季度后，支付至合同总价款的55%；第二季度后，支付至合同总价款的70%；第三季度后，支付至合同总价款的85%。</w:t>
            </w:r>
          </w:p>
          <w:p>
            <w:pPr>
              <w:pStyle w:val="null3"/>
            </w:pPr>
            <w:r>
              <w:rPr>
                <w:rFonts w:ascii="仿宋_GB2312" w:hAnsi="仿宋_GB2312" w:cs="仿宋_GB2312" w:eastAsia="仿宋_GB2312"/>
              </w:rPr>
              <w:t>（3）服务期满且本合同约定服务内容经甲方验收合格后一个月内，支付本合同剩余价款。</w:t>
            </w:r>
          </w:p>
          <w:p>
            <w:pPr>
              <w:pStyle w:val="null3"/>
            </w:pPr>
            <w:r>
              <w:rPr>
                <w:rFonts w:ascii="仿宋_GB2312" w:hAnsi="仿宋_GB2312" w:cs="仿宋_GB2312" w:eastAsia="仿宋_GB2312"/>
              </w:rPr>
              <w:t>（4）由甲方负责结算，乙方开具合同总价数的全额发票交采购人，由乙方按照磋商文件中约定的付款方式向甲方提出申请，征得西安市莲湖区财政局同意后，待财政拨付到位后按招标文件中规定的付款方式进行结算。</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四、成果交付要求：</w:t>
            </w:r>
          </w:p>
          <w:p>
            <w:pPr>
              <w:pStyle w:val="null3"/>
            </w:pPr>
            <w:r>
              <w:rPr>
                <w:rFonts w:ascii="仿宋_GB2312" w:hAnsi="仿宋_GB2312" w:cs="仿宋_GB2312" w:eastAsia="仿宋_GB2312"/>
              </w:rPr>
              <w:t>（1）要求提供高性能车载移动空气监测走航报告，共15份；</w:t>
            </w:r>
          </w:p>
          <w:p>
            <w:pPr>
              <w:pStyle w:val="null3"/>
            </w:pPr>
            <w:r>
              <w:rPr>
                <w:rFonts w:ascii="仿宋_GB2312" w:hAnsi="仿宋_GB2312" w:cs="仿宋_GB2312" w:eastAsia="仿宋_GB2312"/>
              </w:rPr>
              <w:t>（2）要求提供莲湖区VOCs走航报告，共30份；</w:t>
            </w:r>
          </w:p>
          <w:p>
            <w:pPr>
              <w:pStyle w:val="null3"/>
            </w:pPr>
            <w:r>
              <w:rPr>
                <w:rFonts w:ascii="仿宋_GB2312" w:hAnsi="仿宋_GB2312" w:cs="仿宋_GB2312" w:eastAsia="仿宋_GB2312"/>
              </w:rPr>
              <w:t>（3）要求提供莲湖区道路积尘走航报告，共24份；</w:t>
            </w:r>
          </w:p>
          <w:p>
            <w:pPr>
              <w:pStyle w:val="null3"/>
            </w:pPr>
            <w:r>
              <w:rPr>
                <w:rFonts w:ascii="仿宋_GB2312" w:hAnsi="仿宋_GB2312" w:cs="仿宋_GB2312" w:eastAsia="仿宋_GB2312"/>
              </w:rPr>
              <w:t>（4）要求提供便携式手持检测问题汇总台账，共1份；</w:t>
            </w:r>
          </w:p>
          <w:p>
            <w:pPr>
              <w:pStyle w:val="null3"/>
            </w:pPr>
            <w:r>
              <w:rPr>
                <w:rFonts w:ascii="仿宋_GB2312" w:hAnsi="仿宋_GB2312" w:cs="仿宋_GB2312" w:eastAsia="仿宋_GB2312"/>
              </w:rPr>
              <w:t>（5）要求提供空气质量精细化预测预报，共280份。</w:t>
            </w:r>
          </w:p>
          <w:p>
            <w:pPr>
              <w:pStyle w:val="null3"/>
            </w:pPr>
            <w:r>
              <w:rPr>
                <w:rFonts w:ascii="仿宋_GB2312" w:hAnsi="仿宋_GB2312" w:cs="仿宋_GB2312" w:eastAsia="仿宋_GB2312"/>
              </w:rPr>
              <w:t>（6）要求提供高值研判调度管控建议，不少于300条。</w:t>
            </w:r>
          </w:p>
          <w:p>
            <w:pPr>
              <w:pStyle w:val="null3"/>
            </w:pPr>
            <w:r>
              <w:rPr>
                <w:rFonts w:ascii="仿宋_GB2312" w:hAnsi="仿宋_GB2312" w:cs="仿宋_GB2312" w:eastAsia="仿宋_GB2312"/>
              </w:rPr>
              <w:t>（7）要求提供每日动态更新达标任务，共300份；</w:t>
            </w:r>
          </w:p>
          <w:p>
            <w:pPr>
              <w:pStyle w:val="null3"/>
            </w:pPr>
            <w:r>
              <w:rPr>
                <w:rFonts w:ascii="仿宋_GB2312" w:hAnsi="仿宋_GB2312" w:cs="仿宋_GB2312" w:eastAsia="仿宋_GB2312"/>
              </w:rPr>
              <w:t>（8）根据需求提供污染过程跟踪解读报告、空气质量综合分析报告、调度会商材料等；</w:t>
            </w:r>
          </w:p>
          <w:p>
            <w:pPr>
              <w:pStyle w:val="null3"/>
            </w:pPr>
            <w:r>
              <w:rPr>
                <w:rFonts w:ascii="仿宋_GB2312" w:hAnsi="仿宋_GB2312" w:cs="仿宋_GB2312" w:eastAsia="仿宋_GB2312"/>
              </w:rPr>
              <w:t>（9）要求提供莲湖区空气质量分析月报，共12份；</w:t>
            </w:r>
          </w:p>
          <w:p>
            <w:pPr>
              <w:pStyle w:val="null3"/>
            </w:pPr>
            <w:r>
              <w:rPr>
                <w:rFonts w:ascii="仿宋_GB2312" w:hAnsi="仿宋_GB2312" w:cs="仿宋_GB2312" w:eastAsia="仿宋_GB2312"/>
              </w:rPr>
              <w:t>（10）要求提交莲湖区重污染天气案例库1套。</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经乙方书面通知，甲方组织成立验收小组，按照采购合同的约定及《西安市莲湖区大气污染治理“一区一策”专家团队 服务项目验收绩效考核方案》完成对乙方项目服务内容的验收。验收结束后，出具验收单，列明验收情况及项目总体评价，由验收双方共同签署。</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合同签订后，支付合同总金额的40%作为预付款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第一季度后，支付至合同总价款的55%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第二季度后，支付至合同总价款的70%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第三季度后，支付至合同总价款的85%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服务期满且本合同约定服务内容经甲方验收合格后一个月内，支付本合同剩余价款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违约责任：1.甲乙双方均应按本合同的约定履行本合同项下的义务，本合同的任何一方违反本合同的约定给对方造成损失的，都应当赔偿另一方因此而遭受的损失。 2.甲方逾期付款超过60个日历日的，乙方有权解除合同，并要求甲方应按本合同总价款的10％向乙方支付违约金。 3.乙方在约定期限内不能按要求提供技术服务或未完成工作任务的，则每迟延一天，乙方向甲方支付逾期服务部分对应合同款的0.5％的违约金，逾期超过20个日历日的，甲方有权解除合同，并要求乙方应按本合同总价款的10％向甲方支付违约金。若乙方未按照合同要求向甲方提供工作成果，或者提供的工作成果给甲方造成损失的，乙方应当赔偿甲方因此而遭受的全部损失。 4.合同履行中任何一方无正当理由，单方提出解除或终止合同，均属单方违约，违约方除承担赔偿因此造成对方的全部经济损失外，还必须向对方支付本合同总价款的5%违约金。 5.本合同中规定的赔偿费用，违约一方必须在终止本合同后，一个月内一次性支付给对方。 解决争议的方法：合同执行中发生争议的，当事人双方应协商解决。协商不一致时，向西安仲裁委员会提请仲裁。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1.本项目专门面向中小企业采购，供应商应为中小微企业或监狱企业或残疾人福利性单位。 2.本项目合同包1采购标的所属行业为：其他未列明行业； 3.本项目是否属于信用担保试点范围：否。 4.本项目为固定总价合同。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 2.提供2025年4月至今已缴纳的至少一个月的纳税证明或完税证明（任意税种），依法免税的单位应提供相关证明材料； 3.提供2025年4月至今已缴存的至少一个月的社会保障资金缴存单据或社保机构开具的社会保险参保缴费情况证明，依法不需要缴纳社会保障资金的单位应提供相关证明材料； 4.提供具有履行合同所必需的设备和专业技术能力的承诺； 5.参加政府采购活动前三年内，在经营活动中没有重大违法记录的书面声明；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提供2025年4月至今已缴纳的至少一个月的纳税证明或完税证明（任意税种），依法免税的单位应提供相关证明材料；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提供2025年4月至今已缴存的至少一个月的社会保障资金缴存单据或社保机构开具的社会保险参保缴费情况证明，依法不需要缴纳社会保障资金的单位应提供相关证明材料；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投标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投标文件上法定代表人或其授权代表人的签字、盖章齐全并加盖供应商公章；</w:t>
            </w:r>
          </w:p>
        </w:tc>
        <w:tc>
          <w:tcPr>
            <w:tcW w:type="dxa" w:w="1661"/>
          </w:tcPr>
          <w:p>
            <w:pPr>
              <w:pStyle w:val="null3"/>
            </w:pPr>
            <w:r>
              <w:rPr>
                <w:rFonts w:ascii="仿宋_GB2312" w:hAnsi="仿宋_GB2312" w:cs="仿宋_GB2312" w:eastAsia="仿宋_GB2312"/>
              </w:rPr>
              <w:t>供应商参加政府采购活动承诺书.docx 开标一览表 投标方案.docx 业绩.docx 中小企业声明函 资格证明文件.docx 投标函 残疾人福利性单位声明函 其它说明.docx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供应商参加政府采购活动承诺书.docx 开标一览表 投标方案.docx 业绩.docx 中小企业声明函 资格证明文件.docx 投标函 残疾人福利性单位声明函 其它说明.docx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只能有一个有效报价，不得提交选择性报价，且报价不超过最高限价金额；</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投标文件内容齐全、无遗漏（除评标因素外）；</w:t>
            </w:r>
          </w:p>
        </w:tc>
        <w:tc>
          <w:tcPr>
            <w:tcW w:type="dxa" w:w="1661"/>
          </w:tcPr>
          <w:p>
            <w:pPr>
              <w:pStyle w:val="null3"/>
            </w:pPr>
            <w:r>
              <w:rPr>
                <w:rFonts w:ascii="仿宋_GB2312" w:hAnsi="仿宋_GB2312" w:cs="仿宋_GB2312" w:eastAsia="仿宋_GB2312"/>
              </w:rPr>
              <w:t>投标方案.docx 其它说明.docx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投标方案.docx 其它说明.docx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投标方案.docx 其它说明.docx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投标方案.docx 其它说明.docx 商务条款偏离表.docx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需求定位及理解</w:t>
            </w:r>
          </w:p>
        </w:tc>
        <w:tc>
          <w:tcPr>
            <w:tcW w:type="dxa" w:w="2492"/>
          </w:tcPr>
          <w:p>
            <w:pPr>
              <w:pStyle w:val="null3"/>
            </w:pPr>
            <w:r>
              <w:rPr>
                <w:rFonts w:ascii="仿宋_GB2312" w:hAnsi="仿宋_GB2312" w:cs="仿宋_GB2312" w:eastAsia="仿宋_GB2312"/>
              </w:rPr>
              <w:t>1.对我国、我省现行的大气污染防控政策、方案等进行梳理并合理解读，得1-3分。 2.结合莲湖区实际对本项目的实施背景、工作目的、目标及内容进行分析，得1-4分。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针对本项目提供总体实施方案。 1.完整性：方案能对采购人提出的工作内容进行完整、合理地阐述，对所有服务需求提出明确的服务工作机制、工作流程的，得1-4分。 2.可行性：方案的总体框架清晰，符合项目立项目的，并提出合法、合规并有利于推动项目实施措施的，得1-4分。 3.专业性：技术思路清晰、明确，逻辑性强，有系统、科学、操作性强的研究方法，充分考虑区域实际，得1-4分。 4.及时性：方案中具有具体的服务响应时间，能够做到及时、高效响应采购人的需求，进度计划科学合理，保证工作效率的，得1-4分。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服务基础</w:t>
            </w:r>
          </w:p>
        </w:tc>
        <w:tc>
          <w:tcPr>
            <w:tcW w:type="dxa" w:w="2492"/>
          </w:tcPr>
          <w:p>
            <w:pPr>
              <w:pStyle w:val="null3"/>
            </w:pPr>
            <w:r>
              <w:rPr>
                <w:rFonts w:ascii="仿宋_GB2312" w:hAnsi="仿宋_GB2312" w:cs="仿宋_GB2312" w:eastAsia="仿宋_GB2312"/>
              </w:rPr>
              <w:t>1.针对莲湖区大气污染防控有专项服务方案，内容具体合理的，1-5分； 2.对莲湖区内各类污染源特征进行分析描述的，得1-5分； 3.对莲湖区内各空气质量站点周边的污染源进行分析描述的，得1-5分。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1.人员配备设置合理，专业人员配备齐全、分工明确、职责清晰得7-10分； 人员配备设置较合理，专业人员配备齐全、分工及岗位职责较清晰得4-7分（含7分）； 人员配备设置基本合理，专业人员分工及岗位职责不清晰得1-4分（含4分）。 2.拟派项目团队成员(含项目负责人)具有大气环境、环境工程、环境科学等相关专业硕士或以上学历的，每提供1人得1分，最高得5分。 3.拟派项目团队成员(含项目负责人)具有中级或以上职称，每提供1人得2.5分，最高得5分；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质量控制措施完善、合理、切实可行得7-10分； 质量控制措施较为完善、合理、切实可行得4-7分（含7分）； 质量控制措施较混乱、但可行性较差或无质量控制措施得1-4分（含4分）。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针对本项目采购需求，拟投入的设备充足，可精准和高效完成分析、检测溯源等相关服务内容得7-10分； 拟投入的设备较充足，针对分析、检测溯源等相关服务内容可提供较好的服务支持得4-7分（含7分）； 拟投入设备机械较差，不能较好地满足相关服务内容得1-4分（含4分）。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具有完善的保密措施和保密方案，从管理、人员、技术、成果文件等各个方面，全面保证采购人数据及相关信息不泄密，保密承诺详细可行得2-4分；保密方案简略，可行性较差得1-2（含2分）。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项目进度安排及成果递交</w:t>
            </w:r>
          </w:p>
        </w:tc>
        <w:tc>
          <w:tcPr>
            <w:tcW w:type="dxa" w:w="2492"/>
          </w:tcPr>
          <w:p>
            <w:pPr>
              <w:pStyle w:val="null3"/>
            </w:pPr>
            <w:r>
              <w:rPr>
                <w:rFonts w:ascii="仿宋_GB2312" w:hAnsi="仿宋_GB2312" w:cs="仿宋_GB2312" w:eastAsia="仿宋_GB2312"/>
              </w:rPr>
              <w:t>针对本项目有详细的项目进度安排，工作安排完整详尽，确保服务完成并按期完成成果递交得3-6分； 针对本项目进度安排不详细或进度安排不明确，不能确保按期完成成果递交计1-3分（含3分）；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供应商提供2022年01月01日至今类似项目业绩，每提供1份得1分，最高得2分； 业绩证明（以合同/协议或中标/成交通知书为准，须在投标文件中附合同/协议或中标/成交通知书的扫描件加盖单位公章）弄虚作假者，取消其中标资格。</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 2.有效最低报价为基准价得10分。 3.按（有效最低报价/有效投标报价）×10 的公式计算其得分。 4.投标报价不完整的，不进入评标基准价的计算，本项得0分。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详见附件：聘请大气污染治理“一区一策”专家团队合同.docx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