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622550">
      <w:pPr>
        <w:jc w:val="center"/>
        <w:rPr>
          <w:rFonts w:hint="eastAsia" w:ascii="仿宋" w:hAnsi="仿宋" w:eastAsia="仿宋" w:cs="仿宋"/>
          <w:b/>
          <w:bCs/>
          <w:color w:val="auto"/>
          <w:sz w:val="44"/>
          <w:szCs w:val="44"/>
          <w:highlight w:val="none"/>
          <w:lang w:eastAsia="zh-CN"/>
        </w:rPr>
      </w:pPr>
    </w:p>
    <w:p w14:paraId="1449E2D2">
      <w:pPr>
        <w:jc w:val="center"/>
        <w:rPr>
          <w:rFonts w:hint="eastAsia" w:ascii="仿宋" w:hAnsi="仿宋" w:eastAsia="仿宋" w:cs="仿宋"/>
          <w:b/>
          <w:bCs/>
          <w:color w:val="auto"/>
          <w:sz w:val="44"/>
          <w:szCs w:val="44"/>
          <w:highlight w:val="none"/>
          <w:lang w:eastAsia="zh-CN"/>
        </w:rPr>
      </w:pPr>
    </w:p>
    <w:p w14:paraId="0120CEC9">
      <w:pPr>
        <w:jc w:val="center"/>
        <w:rPr>
          <w:rFonts w:hint="eastAsia" w:ascii="仿宋" w:hAnsi="仿宋" w:eastAsia="仿宋" w:cs="仿宋"/>
          <w:b/>
          <w:bCs/>
          <w:color w:val="auto"/>
          <w:sz w:val="44"/>
          <w:szCs w:val="44"/>
          <w:highlight w:val="none"/>
          <w:lang w:eastAsia="zh-CN"/>
        </w:rPr>
      </w:pPr>
    </w:p>
    <w:p w14:paraId="4CC76B4E">
      <w:pPr>
        <w:jc w:val="center"/>
        <w:rPr>
          <w:rFonts w:hint="eastAsia" w:ascii="仿宋" w:hAnsi="仿宋" w:eastAsia="仿宋" w:cs="仿宋"/>
          <w:b/>
          <w:bCs/>
          <w:color w:val="auto"/>
          <w:sz w:val="44"/>
          <w:szCs w:val="44"/>
          <w:highlight w:val="none"/>
          <w:lang w:eastAsia="zh-CN"/>
        </w:rPr>
      </w:pPr>
    </w:p>
    <w:p w14:paraId="6CBE2325">
      <w:pPr>
        <w:jc w:val="center"/>
        <w:rPr>
          <w:rFonts w:hint="eastAsia" w:ascii="仿宋" w:hAnsi="仿宋" w:eastAsia="仿宋" w:cs="仿宋"/>
          <w:b/>
          <w:bCs/>
          <w:color w:val="auto"/>
          <w:sz w:val="44"/>
          <w:szCs w:val="44"/>
          <w:highlight w:val="none"/>
        </w:rPr>
      </w:pPr>
      <w:bookmarkStart w:id="31" w:name="_GoBack"/>
      <w:bookmarkEnd w:id="31"/>
      <w:r>
        <w:rPr>
          <w:rFonts w:hint="eastAsia" w:ascii="仿宋" w:hAnsi="仿宋" w:eastAsia="仿宋" w:cs="仿宋"/>
          <w:b/>
          <w:bCs/>
          <w:color w:val="auto"/>
          <w:sz w:val="44"/>
          <w:szCs w:val="44"/>
          <w:highlight w:val="none"/>
          <w:lang w:eastAsia="zh-CN"/>
        </w:rPr>
        <w:t>西安市莲湖区青年路小学信息化设备建设项目</w:t>
      </w:r>
      <w:r>
        <w:rPr>
          <w:rFonts w:hint="eastAsia" w:ascii="仿宋" w:hAnsi="仿宋" w:eastAsia="仿宋" w:cs="仿宋"/>
          <w:b/>
          <w:bCs/>
          <w:color w:val="auto"/>
          <w:sz w:val="44"/>
          <w:szCs w:val="44"/>
          <w:highlight w:val="none"/>
        </w:rPr>
        <w:t>合同</w:t>
      </w:r>
    </w:p>
    <w:p w14:paraId="087A8164">
      <w:pPr>
        <w:pStyle w:val="2"/>
        <w:rPr>
          <w:rFonts w:hint="eastAsia" w:ascii="仿宋" w:hAnsi="仿宋" w:eastAsia="仿宋" w:cs="仿宋"/>
          <w:color w:val="auto"/>
          <w:highlight w:val="none"/>
        </w:rPr>
      </w:pPr>
    </w:p>
    <w:p w14:paraId="305C0C8A">
      <w:pPr>
        <w:rPr>
          <w:rFonts w:hint="eastAsia" w:ascii="仿宋" w:hAnsi="仿宋" w:eastAsia="仿宋" w:cs="仿宋"/>
          <w:color w:val="auto"/>
          <w:highlight w:val="none"/>
        </w:rPr>
      </w:pPr>
    </w:p>
    <w:p w14:paraId="4FFE14ED">
      <w:pPr>
        <w:rPr>
          <w:rFonts w:hint="eastAsia" w:ascii="仿宋" w:hAnsi="仿宋" w:eastAsia="仿宋" w:cs="仿宋"/>
          <w:color w:val="auto"/>
          <w:highlight w:val="none"/>
        </w:rPr>
      </w:pPr>
    </w:p>
    <w:p w14:paraId="14631485">
      <w:pPr>
        <w:pStyle w:val="5"/>
        <w:ind w:firstLine="210"/>
        <w:rPr>
          <w:rFonts w:hint="eastAsia" w:ascii="仿宋" w:hAnsi="仿宋" w:eastAsia="仿宋" w:cs="仿宋"/>
          <w:color w:val="auto"/>
          <w:highlight w:val="none"/>
        </w:rPr>
      </w:pPr>
    </w:p>
    <w:p w14:paraId="507D539E">
      <w:pPr>
        <w:pStyle w:val="5"/>
        <w:ind w:firstLine="210"/>
        <w:rPr>
          <w:rFonts w:hint="eastAsia" w:ascii="仿宋" w:hAnsi="仿宋" w:eastAsia="仿宋" w:cs="仿宋"/>
          <w:color w:val="auto"/>
          <w:highlight w:val="none"/>
        </w:rPr>
      </w:pPr>
    </w:p>
    <w:p w14:paraId="20FA48F6">
      <w:pPr>
        <w:rPr>
          <w:rFonts w:hint="eastAsia" w:ascii="仿宋" w:hAnsi="仿宋" w:eastAsia="仿宋" w:cs="仿宋"/>
          <w:color w:val="auto"/>
          <w:highlight w:val="none"/>
        </w:rPr>
      </w:pPr>
    </w:p>
    <w:p w14:paraId="6FF37245">
      <w:pPr>
        <w:pStyle w:val="9"/>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（示范文本）</w:t>
      </w:r>
    </w:p>
    <w:p w14:paraId="3E223FCD">
      <w:pP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br w:type="page"/>
      </w:r>
    </w:p>
    <w:p w14:paraId="4D21DB51">
      <w:pPr>
        <w:adjustRightInd w:val="0"/>
        <w:snapToGrid w:val="0"/>
        <w:spacing w:line="360" w:lineRule="auto"/>
        <w:ind w:firstLine="422" w:firstLineChars="200"/>
        <w:rPr>
          <w:rFonts w:hint="eastAsia" w:ascii="仿宋" w:hAnsi="仿宋" w:eastAsia="仿宋" w:cs="仿宋"/>
          <w:b/>
          <w:color w:val="auto"/>
          <w:highlight w:val="none"/>
        </w:rPr>
      </w:pPr>
    </w:p>
    <w:p w14:paraId="6863BFE6">
      <w:pPr>
        <w:adjustRightInd w:val="0"/>
        <w:snapToGrid w:val="0"/>
        <w:spacing w:line="360" w:lineRule="auto"/>
        <w:ind w:firstLine="422" w:firstLineChars="200"/>
        <w:rPr>
          <w:rFonts w:hint="eastAsia" w:ascii="仿宋" w:hAnsi="仿宋" w:eastAsia="仿宋" w:cs="仿宋"/>
          <w:b/>
          <w:color w:val="auto"/>
          <w:highlight w:val="none"/>
          <w:lang w:val="en-US" w:eastAsia="zh-CN"/>
        </w:rPr>
      </w:pPr>
      <w:r>
        <w:rPr>
          <w:rFonts w:hint="eastAsia" w:ascii="仿宋" w:hAnsi="仿宋" w:eastAsia="仿宋" w:cs="仿宋"/>
          <w:b/>
          <w:color w:val="auto"/>
          <w:highlight w:val="none"/>
        </w:rPr>
        <w:t>采购人（全称）：</w:t>
      </w:r>
      <w:r>
        <w:rPr>
          <w:rFonts w:hint="eastAsia" w:ascii="仿宋" w:hAnsi="仿宋" w:eastAsia="仿宋" w:cs="仿宋"/>
          <w:b/>
          <w:color w:val="auto"/>
          <w:highlight w:val="none"/>
          <w:u w:val="single"/>
        </w:rPr>
        <w:t xml:space="preserve">                                      </w:t>
      </w:r>
    </w:p>
    <w:p w14:paraId="61D4981E">
      <w:pPr>
        <w:adjustRightInd w:val="0"/>
        <w:snapToGrid w:val="0"/>
        <w:spacing w:line="360" w:lineRule="auto"/>
        <w:ind w:firstLine="422" w:firstLineChars="200"/>
        <w:rPr>
          <w:rFonts w:hint="eastAsia" w:ascii="仿宋" w:hAnsi="仿宋" w:eastAsia="仿宋" w:cs="仿宋"/>
          <w:color w:val="auto"/>
          <w:highlight w:val="none"/>
        </w:rPr>
      </w:pPr>
      <w:r>
        <w:rPr>
          <w:rFonts w:hint="eastAsia" w:ascii="仿宋" w:hAnsi="仿宋" w:eastAsia="仿宋" w:cs="仿宋"/>
          <w:b/>
          <w:color w:val="auto"/>
          <w:highlight w:val="none"/>
        </w:rPr>
        <w:t>供应商（全称）：</w:t>
      </w:r>
      <w:r>
        <w:rPr>
          <w:rFonts w:hint="eastAsia" w:ascii="仿宋" w:hAnsi="仿宋" w:eastAsia="仿宋" w:cs="仿宋"/>
          <w:b/>
          <w:color w:val="auto"/>
          <w:highlight w:val="none"/>
          <w:u w:val="single"/>
        </w:rPr>
        <w:t xml:space="preserve">                                   </w:t>
      </w:r>
      <w:r>
        <w:rPr>
          <w:rFonts w:hint="eastAsia" w:ascii="仿宋" w:hAnsi="仿宋" w:eastAsia="仿宋" w:cs="仿宋"/>
          <w:color w:val="auto"/>
          <w:highlight w:val="none"/>
          <w:u w:val="single"/>
        </w:rPr>
        <w:t xml:space="preserve">   </w:t>
      </w:r>
    </w:p>
    <w:p w14:paraId="23B73251">
      <w:pPr>
        <w:adjustRightInd w:val="0"/>
        <w:snapToGrid w:val="0"/>
        <w:spacing w:line="360" w:lineRule="auto"/>
        <w:ind w:firstLine="420" w:firstLineChars="200"/>
        <w:rPr>
          <w:rFonts w:hint="eastAsia" w:ascii="仿宋" w:hAnsi="仿宋" w:eastAsia="仿宋" w:cs="仿宋"/>
          <w:color w:val="auto"/>
          <w:highlight w:val="none"/>
          <w:u w:val="single"/>
        </w:rPr>
      </w:pPr>
      <w:r>
        <w:rPr>
          <w:rFonts w:hint="eastAsia" w:ascii="仿宋" w:hAnsi="仿宋" w:eastAsia="仿宋" w:cs="仿宋"/>
          <w:color w:val="auto"/>
          <w:highlight w:val="none"/>
        </w:rPr>
        <w:t>根据《中华人民共和国民法典》及其他有关法律、法规，遵循平等、自愿、公平和诚信的原则，双方就下述项目范围与相关服务事项协商一致，订立本合同。</w:t>
      </w:r>
    </w:p>
    <w:p w14:paraId="7367A071">
      <w:pPr>
        <w:spacing w:line="360" w:lineRule="auto"/>
        <w:rPr>
          <w:rFonts w:hint="eastAsia" w:ascii="仿宋" w:hAnsi="仿宋" w:eastAsia="仿宋" w:cs="仿宋"/>
          <w:b/>
          <w:color w:val="auto"/>
          <w:highlight w:val="none"/>
        </w:rPr>
      </w:pPr>
      <w:r>
        <w:rPr>
          <w:rFonts w:hint="eastAsia" w:ascii="仿宋" w:hAnsi="仿宋" w:eastAsia="仿宋" w:cs="仿宋"/>
          <w:b/>
          <w:color w:val="auto"/>
          <w:highlight w:val="none"/>
        </w:rPr>
        <w:t>一、项目概况</w:t>
      </w:r>
    </w:p>
    <w:p w14:paraId="7F34072E">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1.项目名称：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6E5CE644">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2.项目地点：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63B1C935">
      <w:pPr>
        <w:spacing w:line="360" w:lineRule="auto"/>
        <w:rPr>
          <w:rFonts w:hint="eastAsia" w:ascii="仿宋" w:hAnsi="仿宋" w:eastAsia="仿宋" w:cs="仿宋"/>
          <w:b/>
          <w:color w:val="auto"/>
          <w:highlight w:val="none"/>
        </w:rPr>
      </w:pPr>
      <w:r>
        <w:rPr>
          <w:rFonts w:hint="eastAsia" w:ascii="仿宋" w:hAnsi="仿宋" w:eastAsia="仿宋" w:cs="仿宋"/>
          <w:b/>
          <w:color w:val="auto"/>
          <w:highlight w:val="none"/>
        </w:rPr>
        <w:t>二、组成本合同的文件</w:t>
      </w:r>
    </w:p>
    <w:p w14:paraId="7677CF73">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1.协议书；</w:t>
      </w:r>
    </w:p>
    <w:p w14:paraId="51C370FA">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2.成交通知书、竞争性谈判响应文件、竞争性谈判文件、澄清、采购补充文件；</w:t>
      </w:r>
    </w:p>
    <w:p w14:paraId="0562428F">
      <w:pPr>
        <w:adjustRightInd w:val="0"/>
        <w:snapToGrid w:val="0"/>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3.相关服务建议书；</w:t>
      </w:r>
    </w:p>
    <w:p w14:paraId="461C48D9">
      <w:pPr>
        <w:adjustRightInd w:val="0"/>
        <w:snapToGrid w:val="0"/>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4.附录，即：附表内相关服务的范围和内容；</w:t>
      </w:r>
    </w:p>
    <w:p w14:paraId="5E53FBD4">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本合同签订后，双方依法签订的补充协议也是本合同文件的组成部分。</w:t>
      </w:r>
    </w:p>
    <w:p w14:paraId="70F0F9A4">
      <w:pPr>
        <w:spacing w:line="360" w:lineRule="auto"/>
        <w:rPr>
          <w:rFonts w:hint="eastAsia" w:ascii="仿宋" w:hAnsi="仿宋" w:eastAsia="仿宋" w:cs="仿宋"/>
          <w:b/>
          <w:color w:val="auto"/>
          <w:highlight w:val="none"/>
        </w:rPr>
      </w:pPr>
      <w:r>
        <w:rPr>
          <w:rFonts w:hint="eastAsia" w:ascii="仿宋" w:hAnsi="仿宋" w:eastAsia="仿宋" w:cs="仿宋"/>
          <w:b/>
          <w:color w:val="auto"/>
          <w:highlight w:val="none"/>
        </w:rPr>
        <w:t>三、合同金额</w:t>
      </w:r>
    </w:p>
    <w:p w14:paraId="5EADC8D1">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1.本合同为</w:t>
      </w:r>
      <w:r>
        <w:rPr>
          <w:rFonts w:hint="eastAsia" w:ascii="仿宋" w:hAnsi="仿宋" w:eastAsia="仿宋" w:cs="仿宋"/>
          <w:color w:val="auto"/>
          <w:highlight w:val="none"/>
          <w:lang w:val="en-US" w:eastAsia="zh-CN"/>
        </w:rPr>
        <w:t>总</w:t>
      </w:r>
      <w:r>
        <w:rPr>
          <w:rFonts w:hint="eastAsia" w:ascii="仿宋" w:hAnsi="仿宋" w:eastAsia="仿宋" w:cs="仿宋"/>
          <w:color w:val="auto"/>
          <w:highlight w:val="none"/>
        </w:rPr>
        <w:t>价合同。</w:t>
      </w:r>
    </w:p>
    <w:p w14:paraId="607530B3">
      <w:pPr>
        <w:adjustRightInd w:val="0"/>
        <w:snapToGrid w:val="0"/>
        <w:spacing w:line="360" w:lineRule="auto"/>
        <w:ind w:firstLine="415" w:firstLineChars="198"/>
        <w:rPr>
          <w:rFonts w:hint="eastAsia" w:ascii="仿宋" w:hAnsi="仿宋" w:eastAsia="仿宋" w:cs="仿宋"/>
          <w:color w:val="auto"/>
          <w:szCs w:val="24"/>
          <w:highlight w:val="none"/>
        </w:rPr>
      </w:pPr>
      <w:r>
        <w:rPr>
          <w:rFonts w:hint="eastAsia" w:ascii="仿宋" w:hAnsi="仿宋" w:eastAsia="仿宋" w:cs="仿宋"/>
          <w:color w:val="auto"/>
          <w:szCs w:val="24"/>
          <w:highlight w:val="none"/>
        </w:rPr>
        <w:t>合同总价（大写）：</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01D3DED9">
      <w:pPr>
        <w:adjustRightInd w:val="0"/>
        <w:snapToGrid w:val="0"/>
        <w:spacing w:line="360" w:lineRule="auto"/>
        <w:ind w:firstLine="415" w:firstLineChars="198"/>
        <w:rPr>
          <w:rFonts w:hint="eastAsia" w:ascii="仿宋" w:hAnsi="仿宋" w:eastAsia="仿宋" w:cs="仿宋"/>
          <w:color w:val="auto"/>
          <w:szCs w:val="24"/>
          <w:highlight w:val="none"/>
        </w:rPr>
      </w:pPr>
      <w:r>
        <w:rPr>
          <w:rFonts w:hint="eastAsia" w:ascii="仿宋" w:hAnsi="仿宋" w:eastAsia="仿宋" w:cs="仿宋"/>
          <w:color w:val="auto"/>
          <w:szCs w:val="24"/>
          <w:highlight w:val="none"/>
        </w:rPr>
        <w:t>合同总价即成交价，合同总价包干，不受市场价变化或实际工作量变化的影响，合同价格为含税价，供应商（成交人）提供产品所发生的一切税（包括增值税）费等都已包含于合同价款中。</w:t>
      </w:r>
    </w:p>
    <w:p w14:paraId="193045BF">
      <w:pPr>
        <w:pStyle w:val="2"/>
        <w:spacing w:after="0"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2.合同单价详见附件清单。</w:t>
      </w:r>
    </w:p>
    <w:p w14:paraId="7F595C3D">
      <w:pPr>
        <w:adjustRightInd w:val="0"/>
        <w:snapToGrid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四、结算方式</w:t>
      </w:r>
    </w:p>
    <w:p w14:paraId="23C15365">
      <w:pPr>
        <w:spacing w:line="360" w:lineRule="auto"/>
        <w:ind w:firstLine="420" w:firstLineChars="200"/>
        <w:rPr>
          <w:rFonts w:hint="eastAsia" w:ascii="仿宋" w:hAnsi="仿宋" w:eastAsia="仿宋" w:cs="仿宋"/>
          <w:b/>
          <w:color w:val="auto"/>
          <w:szCs w:val="24"/>
          <w:highlight w:val="none"/>
        </w:rPr>
      </w:pPr>
      <w:r>
        <w:rPr>
          <w:rFonts w:hint="eastAsia" w:ascii="仿宋" w:hAnsi="仿宋" w:eastAsia="仿宋" w:cs="仿宋"/>
          <w:color w:val="auto"/>
          <w:szCs w:val="24"/>
          <w:highlight w:val="none"/>
        </w:rPr>
        <w:t>1.结算单位：银行转账，由采购人负责结算。在付款前，供应商必须开具与合同金额相应的发票给</w:t>
      </w:r>
      <w:r>
        <w:rPr>
          <w:rFonts w:hint="eastAsia" w:ascii="仿宋" w:hAnsi="仿宋" w:eastAsia="仿宋" w:cs="仿宋"/>
          <w:color w:val="auto"/>
          <w:szCs w:val="24"/>
          <w:highlight w:val="none"/>
          <w:lang w:val="en-US" w:eastAsia="zh-CN"/>
        </w:rPr>
        <w:t>使用单位</w:t>
      </w:r>
      <w:r>
        <w:rPr>
          <w:rFonts w:hint="eastAsia" w:ascii="仿宋" w:hAnsi="仿宋" w:eastAsia="仿宋" w:cs="仿宋"/>
          <w:color w:val="auto"/>
          <w:szCs w:val="24"/>
          <w:highlight w:val="none"/>
        </w:rPr>
        <w:t>，附详细清单。</w:t>
      </w:r>
    </w:p>
    <w:p w14:paraId="6628415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2.付款方式：</w:t>
      </w:r>
      <w:r>
        <w:rPr>
          <w:rFonts w:hint="eastAsia" w:ascii="仿宋" w:hAnsi="仿宋" w:eastAsia="仿宋" w:cs="仿宋"/>
          <w:color w:val="auto"/>
          <w:szCs w:val="24"/>
          <w:highlight w:val="none"/>
          <w:u w:val="single"/>
        </w:rPr>
        <w:t>（1）全部产品安装调试完毕并验收合格后30日内，甲方向乙方支付合同总价款。</w:t>
      </w:r>
    </w:p>
    <w:p w14:paraId="49C2FAB3">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u w:val="single"/>
        </w:rPr>
        <w:t>（2）由成交单位按照谈判文件中约定的付款方式向使用单位提出申请，征得西安市莲湖区财政局同意后，待财政拨付到位后可按文件中规定的付款方式进行结算。</w:t>
      </w:r>
    </w:p>
    <w:p w14:paraId="501F5556">
      <w:pPr>
        <w:tabs>
          <w:tab w:val="left" w:pos="840"/>
        </w:tabs>
        <w:spacing w:line="360" w:lineRule="auto"/>
        <w:rPr>
          <w:rFonts w:hint="eastAsia" w:ascii="仿宋" w:hAnsi="仿宋" w:eastAsia="仿宋" w:cs="仿宋"/>
          <w:b/>
          <w:color w:val="auto"/>
          <w:szCs w:val="24"/>
          <w:highlight w:val="none"/>
          <w:lang w:eastAsia="zh-CN"/>
        </w:rPr>
      </w:pPr>
      <w:r>
        <w:rPr>
          <w:rFonts w:hint="eastAsia" w:ascii="仿宋" w:hAnsi="仿宋" w:eastAsia="仿宋" w:cs="仿宋"/>
          <w:b/>
          <w:color w:val="auto"/>
          <w:szCs w:val="24"/>
          <w:highlight w:val="none"/>
        </w:rPr>
        <w:t>五、交货期：</w:t>
      </w:r>
      <w:r>
        <w:rPr>
          <w:rFonts w:hint="eastAsia" w:ascii="仿宋" w:hAnsi="仿宋" w:eastAsia="仿宋" w:cs="仿宋"/>
          <w:b/>
          <w:color w:val="auto"/>
          <w:szCs w:val="24"/>
          <w:highlight w:val="none"/>
          <w:lang w:eastAsia="zh-CN"/>
        </w:rPr>
        <w:t>合同签订后20日历天</w:t>
      </w:r>
    </w:p>
    <w:p w14:paraId="51876A78">
      <w:pPr>
        <w:tabs>
          <w:tab w:val="left" w:pos="840"/>
        </w:tabs>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六、质保期：</w:t>
      </w:r>
      <w:r>
        <w:rPr>
          <w:rFonts w:hint="eastAsia" w:ascii="仿宋" w:hAnsi="仿宋" w:eastAsia="仿宋" w:cs="仿宋"/>
          <w:b/>
          <w:color w:val="auto"/>
          <w:szCs w:val="24"/>
          <w:highlight w:val="none"/>
          <w:u w:val="single"/>
          <w:lang w:val="en-US" w:eastAsia="zh-CN"/>
        </w:rPr>
        <w:t>自验收合格之日起12个月</w:t>
      </w:r>
      <w:r>
        <w:rPr>
          <w:rFonts w:hint="eastAsia" w:ascii="仿宋" w:hAnsi="仿宋" w:eastAsia="仿宋" w:cs="仿宋"/>
          <w:b/>
          <w:color w:val="auto"/>
          <w:szCs w:val="24"/>
          <w:highlight w:val="none"/>
          <w:u w:val="single"/>
        </w:rPr>
        <w:t>。</w:t>
      </w:r>
    </w:p>
    <w:p w14:paraId="6A0920B1">
      <w:pPr>
        <w:tabs>
          <w:tab w:val="left" w:pos="840"/>
        </w:tabs>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七、内容及要求</w:t>
      </w:r>
    </w:p>
    <w:p w14:paraId="552E526C">
      <w:pPr>
        <w:tabs>
          <w:tab w:val="left" w:pos="840"/>
        </w:tabs>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即交付的产品、服务内容、数量与竞争性谈判响应文件、竞争性谈判文件等所指明的，或者与本合同所指明的产品、服务内容相一致。（附清单）</w:t>
      </w:r>
    </w:p>
    <w:p w14:paraId="427A08BB">
      <w:pPr>
        <w:spacing w:after="120"/>
        <w:jc w:val="center"/>
        <w:rPr>
          <w:rFonts w:hint="eastAsia" w:ascii="仿宋" w:hAnsi="仿宋" w:eastAsia="仿宋" w:cs="仿宋"/>
          <w:b/>
          <w:color w:val="auto"/>
          <w:szCs w:val="24"/>
          <w:highlight w:val="none"/>
        </w:rPr>
      </w:pPr>
      <w:bookmarkStart w:id="0" w:name="_Toc18856"/>
      <w:bookmarkStart w:id="1" w:name="_Toc13024"/>
      <w:bookmarkStart w:id="2" w:name="_Toc6161"/>
      <w:r>
        <w:rPr>
          <w:rFonts w:hint="eastAsia" w:ascii="仿宋" w:hAnsi="仿宋" w:eastAsia="仿宋" w:cs="仿宋"/>
          <w:b/>
          <w:color w:val="auto"/>
          <w:szCs w:val="24"/>
          <w:highlight w:val="none"/>
        </w:rPr>
        <w:t>供货内容一览表</w:t>
      </w:r>
      <w:bookmarkEnd w:id="0"/>
      <w:bookmarkEnd w:id="1"/>
      <w:bookmarkEnd w:id="2"/>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75"/>
        <w:gridCol w:w="960"/>
        <w:gridCol w:w="1485"/>
        <w:gridCol w:w="1695"/>
        <w:gridCol w:w="825"/>
        <w:gridCol w:w="735"/>
        <w:gridCol w:w="1050"/>
        <w:gridCol w:w="1215"/>
        <w:gridCol w:w="903"/>
      </w:tblGrid>
      <w:tr w14:paraId="3220F2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vAlign w:val="center"/>
          </w:tcPr>
          <w:p w14:paraId="38041794">
            <w:pPr>
              <w:spacing w:after="120"/>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序号</w:t>
            </w:r>
          </w:p>
        </w:tc>
        <w:tc>
          <w:tcPr>
            <w:tcW w:w="960" w:type="dxa"/>
            <w:tcBorders>
              <w:top w:val="single" w:color="auto" w:sz="4" w:space="0"/>
              <w:left w:val="single" w:color="auto" w:sz="4" w:space="0"/>
              <w:bottom w:val="single" w:color="auto" w:sz="4" w:space="0"/>
              <w:right w:val="single" w:color="auto" w:sz="4" w:space="0"/>
            </w:tcBorders>
            <w:vAlign w:val="center"/>
          </w:tcPr>
          <w:p w14:paraId="5ABA374F">
            <w:pPr>
              <w:spacing w:after="120"/>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名称</w:t>
            </w:r>
          </w:p>
        </w:tc>
        <w:tc>
          <w:tcPr>
            <w:tcW w:w="1485" w:type="dxa"/>
            <w:tcBorders>
              <w:top w:val="single" w:color="auto" w:sz="4" w:space="0"/>
              <w:left w:val="single" w:color="auto" w:sz="4" w:space="0"/>
              <w:bottom w:val="single" w:color="auto" w:sz="4" w:space="0"/>
              <w:right w:val="single" w:color="auto" w:sz="4" w:space="0"/>
            </w:tcBorders>
            <w:vAlign w:val="center"/>
          </w:tcPr>
          <w:p w14:paraId="176C8FA8">
            <w:pPr>
              <w:spacing w:after="120"/>
              <w:jc w:val="center"/>
              <w:rPr>
                <w:rFonts w:hint="eastAsia" w:ascii="仿宋" w:hAnsi="仿宋" w:eastAsia="仿宋" w:cs="仿宋"/>
                <w:b/>
                <w:color w:val="auto"/>
                <w:szCs w:val="24"/>
                <w:highlight w:val="none"/>
              </w:rPr>
            </w:pPr>
            <w:bookmarkStart w:id="3" w:name="_Toc30417"/>
            <w:bookmarkStart w:id="4" w:name="_Toc27392"/>
            <w:bookmarkStart w:id="5" w:name="_Toc21512"/>
            <w:bookmarkStart w:id="6" w:name="_Toc16506"/>
            <w:r>
              <w:rPr>
                <w:rFonts w:hint="eastAsia" w:ascii="仿宋" w:hAnsi="仿宋" w:eastAsia="仿宋" w:cs="仿宋"/>
                <w:b/>
                <w:color w:val="auto"/>
                <w:szCs w:val="24"/>
                <w:highlight w:val="none"/>
              </w:rPr>
              <w:t>品牌、规格及型号</w:t>
            </w:r>
            <w:bookmarkEnd w:id="3"/>
            <w:bookmarkEnd w:id="4"/>
            <w:bookmarkEnd w:id="5"/>
            <w:bookmarkEnd w:id="6"/>
          </w:p>
        </w:tc>
        <w:tc>
          <w:tcPr>
            <w:tcW w:w="1695" w:type="dxa"/>
            <w:tcBorders>
              <w:top w:val="single" w:color="auto" w:sz="4" w:space="0"/>
              <w:left w:val="single" w:color="auto" w:sz="4" w:space="0"/>
              <w:bottom w:val="single" w:color="auto" w:sz="4" w:space="0"/>
              <w:right w:val="single" w:color="auto" w:sz="4" w:space="0"/>
            </w:tcBorders>
            <w:vAlign w:val="center"/>
          </w:tcPr>
          <w:p w14:paraId="4B6EDF5A">
            <w:pPr>
              <w:spacing w:after="120"/>
              <w:jc w:val="center"/>
              <w:rPr>
                <w:rFonts w:hint="eastAsia" w:ascii="仿宋" w:hAnsi="仿宋" w:eastAsia="仿宋" w:cs="仿宋"/>
                <w:b/>
                <w:color w:val="auto"/>
                <w:szCs w:val="24"/>
                <w:highlight w:val="none"/>
              </w:rPr>
            </w:pPr>
            <w:bookmarkStart w:id="7" w:name="_Toc15345"/>
            <w:bookmarkStart w:id="8" w:name="_Toc8981"/>
            <w:bookmarkStart w:id="9" w:name="_Toc27421"/>
            <w:bookmarkStart w:id="10" w:name="_Toc109"/>
            <w:r>
              <w:rPr>
                <w:rFonts w:hint="eastAsia" w:ascii="仿宋" w:hAnsi="仿宋" w:eastAsia="仿宋" w:cs="仿宋"/>
                <w:b/>
                <w:color w:val="auto"/>
                <w:szCs w:val="24"/>
                <w:highlight w:val="none"/>
              </w:rPr>
              <w:t>原产地及 制造厂名</w:t>
            </w:r>
            <w:bookmarkEnd w:id="7"/>
            <w:bookmarkEnd w:id="8"/>
            <w:bookmarkEnd w:id="9"/>
            <w:bookmarkEnd w:id="10"/>
          </w:p>
        </w:tc>
        <w:tc>
          <w:tcPr>
            <w:tcW w:w="825" w:type="dxa"/>
            <w:tcBorders>
              <w:top w:val="single" w:color="auto" w:sz="4" w:space="0"/>
              <w:left w:val="single" w:color="auto" w:sz="4" w:space="0"/>
              <w:bottom w:val="single" w:color="auto" w:sz="4" w:space="0"/>
              <w:right w:val="single" w:color="auto" w:sz="4" w:space="0"/>
            </w:tcBorders>
            <w:vAlign w:val="center"/>
          </w:tcPr>
          <w:p w14:paraId="30626676">
            <w:pPr>
              <w:spacing w:after="120"/>
              <w:jc w:val="center"/>
              <w:rPr>
                <w:rFonts w:hint="eastAsia" w:ascii="仿宋" w:hAnsi="仿宋" w:eastAsia="仿宋" w:cs="仿宋"/>
                <w:b/>
                <w:color w:val="auto"/>
                <w:szCs w:val="24"/>
                <w:highlight w:val="none"/>
              </w:rPr>
            </w:pPr>
            <w:bookmarkStart w:id="11" w:name="_Toc14127"/>
            <w:bookmarkStart w:id="12" w:name="_Toc14339"/>
            <w:bookmarkStart w:id="13" w:name="_Toc10570"/>
            <w:bookmarkStart w:id="14" w:name="_Toc20611"/>
            <w:r>
              <w:rPr>
                <w:rFonts w:hint="eastAsia" w:ascii="仿宋" w:hAnsi="仿宋" w:eastAsia="仿宋" w:cs="仿宋"/>
                <w:b/>
                <w:color w:val="auto"/>
                <w:szCs w:val="24"/>
                <w:highlight w:val="none"/>
              </w:rPr>
              <w:t>单价</w:t>
            </w:r>
            <w:bookmarkEnd w:id="11"/>
            <w:bookmarkEnd w:id="12"/>
            <w:bookmarkEnd w:id="13"/>
            <w:bookmarkEnd w:id="14"/>
          </w:p>
        </w:tc>
        <w:tc>
          <w:tcPr>
            <w:tcW w:w="735" w:type="dxa"/>
            <w:tcBorders>
              <w:top w:val="single" w:color="auto" w:sz="4" w:space="0"/>
              <w:left w:val="single" w:color="auto" w:sz="4" w:space="0"/>
              <w:bottom w:val="single" w:color="auto" w:sz="4" w:space="0"/>
              <w:right w:val="single" w:color="auto" w:sz="4" w:space="0"/>
            </w:tcBorders>
            <w:vAlign w:val="center"/>
          </w:tcPr>
          <w:p w14:paraId="3B0B71E6">
            <w:pPr>
              <w:spacing w:after="120"/>
              <w:jc w:val="center"/>
              <w:rPr>
                <w:rFonts w:hint="eastAsia" w:ascii="仿宋" w:hAnsi="仿宋" w:eastAsia="仿宋" w:cs="仿宋"/>
                <w:b/>
                <w:color w:val="auto"/>
                <w:szCs w:val="24"/>
                <w:highlight w:val="none"/>
              </w:rPr>
            </w:pPr>
            <w:bookmarkStart w:id="15" w:name="_Toc31109"/>
            <w:bookmarkStart w:id="16" w:name="_Toc21991"/>
            <w:bookmarkStart w:id="17" w:name="_Toc879"/>
            <w:bookmarkStart w:id="18" w:name="_Toc15777"/>
            <w:r>
              <w:rPr>
                <w:rFonts w:hint="eastAsia" w:ascii="仿宋" w:hAnsi="仿宋" w:eastAsia="仿宋" w:cs="仿宋"/>
                <w:b/>
                <w:color w:val="auto"/>
                <w:szCs w:val="24"/>
                <w:highlight w:val="none"/>
              </w:rPr>
              <w:t>数量</w:t>
            </w:r>
            <w:bookmarkEnd w:id="15"/>
            <w:bookmarkEnd w:id="16"/>
            <w:bookmarkEnd w:id="17"/>
            <w:bookmarkEnd w:id="18"/>
          </w:p>
        </w:tc>
        <w:tc>
          <w:tcPr>
            <w:tcW w:w="1050" w:type="dxa"/>
            <w:tcBorders>
              <w:top w:val="single" w:color="auto" w:sz="4" w:space="0"/>
              <w:left w:val="single" w:color="auto" w:sz="4" w:space="0"/>
              <w:bottom w:val="single" w:color="auto" w:sz="4" w:space="0"/>
              <w:right w:val="single" w:color="auto" w:sz="4" w:space="0"/>
            </w:tcBorders>
            <w:vAlign w:val="center"/>
          </w:tcPr>
          <w:p w14:paraId="586665CF">
            <w:pPr>
              <w:spacing w:after="120"/>
              <w:jc w:val="center"/>
              <w:rPr>
                <w:rFonts w:hint="eastAsia" w:ascii="仿宋" w:hAnsi="仿宋" w:eastAsia="仿宋" w:cs="仿宋"/>
                <w:b/>
                <w:color w:val="auto"/>
                <w:szCs w:val="24"/>
                <w:highlight w:val="none"/>
              </w:rPr>
            </w:pPr>
            <w:bookmarkStart w:id="19" w:name="_Toc6689"/>
            <w:bookmarkStart w:id="20" w:name="_Toc28024"/>
            <w:bookmarkStart w:id="21" w:name="_Toc12748"/>
            <w:bookmarkStart w:id="22" w:name="_Toc23428"/>
            <w:r>
              <w:rPr>
                <w:rFonts w:hint="eastAsia" w:ascii="仿宋" w:hAnsi="仿宋" w:eastAsia="仿宋" w:cs="仿宋"/>
                <w:b/>
                <w:color w:val="auto"/>
                <w:szCs w:val="24"/>
                <w:highlight w:val="none"/>
              </w:rPr>
              <w:t>交付地点</w:t>
            </w:r>
            <w:bookmarkEnd w:id="19"/>
            <w:bookmarkEnd w:id="20"/>
            <w:bookmarkEnd w:id="21"/>
            <w:bookmarkEnd w:id="22"/>
          </w:p>
        </w:tc>
        <w:tc>
          <w:tcPr>
            <w:tcW w:w="1215" w:type="dxa"/>
            <w:tcBorders>
              <w:top w:val="single" w:color="auto" w:sz="4" w:space="0"/>
              <w:left w:val="single" w:color="auto" w:sz="4" w:space="0"/>
              <w:bottom w:val="single" w:color="auto" w:sz="4" w:space="0"/>
              <w:right w:val="single" w:color="auto" w:sz="4" w:space="0"/>
            </w:tcBorders>
            <w:vAlign w:val="center"/>
          </w:tcPr>
          <w:p w14:paraId="1EB21375">
            <w:pPr>
              <w:spacing w:after="120"/>
              <w:jc w:val="center"/>
              <w:rPr>
                <w:rFonts w:hint="eastAsia" w:ascii="仿宋" w:hAnsi="仿宋" w:eastAsia="仿宋" w:cs="仿宋"/>
                <w:b/>
                <w:color w:val="auto"/>
                <w:szCs w:val="24"/>
                <w:highlight w:val="none"/>
              </w:rPr>
            </w:pPr>
            <w:bookmarkStart w:id="23" w:name="_Toc2991"/>
            <w:bookmarkStart w:id="24" w:name="_Toc21882"/>
            <w:bookmarkStart w:id="25" w:name="_Toc916"/>
            <w:bookmarkStart w:id="26" w:name="_Toc10344"/>
            <w:r>
              <w:rPr>
                <w:rFonts w:hint="eastAsia" w:ascii="仿宋" w:hAnsi="仿宋" w:eastAsia="仿宋" w:cs="仿宋"/>
                <w:b/>
                <w:color w:val="auto"/>
                <w:szCs w:val="24"/>
                <w:highlight w:val="none"/>
              </w:rPr>
              <w:t>交付时间</w:t>
            </w:r>
            <w:bookmarkEnd w:id="23"/>
            <w:bookmarkEnd w:id="24"/>
            <w:bookmarkEnd w:id="25"/>
            <w:bookmarkEnd w:id="26"/>
          </w:p>
        </w:tc>
        <w:tc>
          <w:tcPr>
            <w:tcW w:w="903" w:type="dxa"/>
            <w:tcBorders>
              <w:top w:val="single" w:color="auto" w:sz="4" w:space="0"/>
              <w:left w:val="single" w:color="auto" w:sz="4" w:space="0"/>
              <w:bottom w:val="single" w:color="auto" w:sz="4" w:space="0"/>
              <w:right w:val="single" w:color="auto" w:sz="4" w:space="0"/>
            </w:tcBorders>
            <w:vAlign w:val="center"/>
          </w:tcPr>
          <w:p w14:paraId="229117D9">
            <w:pPr>
              <w:spacing w:after="120"/>
              <w:jc w:val="center"/>
              <w:rPr>
                <w:rFonts w:hint="eastAsia" w:ascii="仿宋" w:hAnsi="仿宋" w:eastAsia="仿宋" w:cs="仿宋"/>
                <w:b/>
                <w:color w:val="auto"/>
                <w:szCs w:val="24"/>
                <w:highlight w:val="none"/>
              </w:rPr>
            </w:pPr>
            <w:bookmarkStart w:id="27" w:name="_Toc17703"/>
            <w:bookmarkStart w:id="28" w:name="_Toc31273"/>
            <w:bookmarkStart w:id="29" w:name="_Toc10193"/>
            <w:bookmarkStart w:id="30" w:name="_Toc18945"/>
            <w:r>
              <w:rPr>
                <w:rFonts w:hint="eastAsia" w:ascii="仿宋" w:hAnsi="仿宋" w:eastAsia="仿宋" w:cs="仿宋"/>
                <w:b/>
                <w:color w:val="auto"/>
                <w:szCs w:val="24"/>
                <w:highlight w:val="none"/>
              </w:rPr>
              <w:t>备注</w:t>
            </w:r>
            <w:bookmarkEnd w:id="27"/>
            <w:bookmarkEnd w:id="28"/>
            <w:bookmarkEnd w:id="29"/>
            <w:bookmarkEnd w:id="30"/>
          </w:p>
        </w:tc>
      </w:tr>
      <w:tr w14:paraId="05FB84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460B64B5">
            <w:pPr>
              <w:spacing w:before="156" w:beforeLines="50" w:line="360" w:lineRule="auto"/>
              <w:jc w:val="center"/>
              <w:rPr>
                <w:rFonts w:hint="eastAsia" w:ascii="仿宋" w:hAnsi="仿宋" w:eastAsia="仿宋" w:cs="仿宋"/>
                <w:color w:val="auto"/>
                <w:szCs w:val="24"/>
                <w:highlight w:val="none"/>
              </w:rPr>
            </w:pPr>
          </w:p>
        </w:tc>
        <w:tc>
          <w:tcPr>
            <w:tcW w:w="960" w:type="dxa"/>
            <w:tcBorders>
              <w:top w:val="single" w:color="auto" w:sz="4" w:space="0"/>
              <w:left w:val="single" w:color="auto" w:sz="4" w:space="0"/>
              <w:bottom w:val="single" w:color="auto" w:sz="4" w:space="0"/>
              <w:right w:val="single" w:color="auto" w:sz="4" w:space="0"/>
            </w:tcBorders>
          </w:tcPr>
          <w:p w14:paraId="36553E09">
            <w:pPr>
              <w:spacing w:before="156" w:beforeLines="50" w:line="360" w:lineRule="auto"/>
              <w:jc w:val="center"/>
              <w:rPr>
                <w:rFonts w:hint="eastAsia" w:ascii="仿宋" w:hAnsi="仿宋" w:eastAsia="仿宋" w:cs="仿宋"/>
                <w:color w:val="auto"/>
                <w:szCs w:val="24"/>
                <w:highlight w:val="none"/>
              </w:rPr>
            </w:pPr>
          </w:p>
        </w:tc>
        <w:tc>
          <w:tcPr>
            <w:tcW w:w="1485" w:type="dxa"/>
            <w:tcBorders>
              <w:top w:val="single" w:color="auto" w:sz="4" w:space="0"/>
              <w:left w:val="single" w:color="auto" w:sz="4" w:space="0"/>
              <w:bottom w:val="single" w:color="auto" w:sz="4" w:space="0"/>
              <w:right w:val="single" w:color="auto" w:sz="4" w:space="0"/>
            </w:tcBorders>
          </w:tcPr>
          <w:p w14:paraId="0BE3FFE1">
            <w:pPr>
              <w:spacing w:before="156" w:beforeLines="50" w:line="360" w:lineRule="auto"/>
              <w:jc w:val="center"/>
              <w:rPr>
                <w:rFonts w:hint="eastAsia" w:ascii="仿宋" w:hAnsi="仿宋" w:eastAsia="仿宋" w:cs="仿宋"/>
                <w:color w:val="auto"/>
                <w:szCs w:val="24"/>
                <w:highlight w:val="none"/>
              </w:rPr>
            </w:pPr>
          </w:p>
        </w:tc>
        <w:tc>
          <w:tcPr>
            <w:tcW w:w="1695" w:type="dxa"/>
            <w:tcBorders>
              <w:top w:val="single" w:color="auto" w:sz="4" w:space="0"/>
              <w:left w:val="single" w:color="auto" w:sz="4" w:space="0"/>
              <w:bottom w:val="single" w:color="auto" w:sz="4" w:space="0"/>
              <w:right w:val="single" w:color="auto" w:sz="4" w:space="0"/>
            </w:tcBorders>
          </w:tcPr>
          <w:p w14:paraId="2B043254">
            <w:pPr>
              <w:spacing w:before="156" w:beforeLines="50" w:line="360" w:lineRule="auto"/>
              <w:jc w:val="center"/>
              <w:rPr>
                <w:rFonts w:hint="eastAsia" w:ascii="仿宋" w:hAnsi="仿宋" w:eastAsia="仿宋" w:cs="仿宋"/>
                <w:color w:val="auto"/>
                <w:szCs w:val="24"/>
                <w:highlight w:val="none"/>
              </w:rPr>
            </w:pPr>
          </w:p>
        </w:tc>
        <w:tc>
          <w:tcPr>
            <w:tcW w:w="825" w:type="dxa"/>
            <w:tcBorders>
              <w:top w:val="single" w:color="auto" w:sz="4" w:space="0"/>
              <w:left w:val="single" w:color="auto" w:sz="4" w:space="0"/>
              <w:bottom w:val="single" w:color="auto" w:sz="4" w:space="0"/>
              <w:right w:val="single" w:color="auto" w:sz="4" w:space="0"/>
            </w:tcBorders>
          </w:tcPr>
          <w:p w14:paraId="5E9619AB">
            <w:pPr>
              <w:spacing w:before="156" w:beforeLines="50" w:line="360" w:lineRule="auto"/>
              <w:jc w:val="center"/>
              <w:rPr>
                <w:rFonts w:hint="eastAsia" w:ascii="仿宋" w:hAnsi="仿宋" w:eastAsia="仿宋" w:cs="仿宋"/>
                <w:color w:val="auto"/>
                <w:szCs w:val="24"/>
                <w:highlight w:val="none"/>
              </w:rPr>
            </w:pPr>
          </w:p>
        </w:tc>
        <w:tc>
          <w:tcPr>
            <w:tcW w:w="735" w:type="dxa"/>
            <w:tcBorders>
              <w:top w:val="single" w:color="auto" w:sz="4" w:space="0"/>
              <w:left w:val="single" w:color="auto" w:sz="4" w:space="0"/>
              <w:bottom w:val="single" w:color="auto" w:sz="4" w:space="0"/>
              <w:right w:val="single" w:color="auto" w:sz="4" w:space="0"/>
            </w:tcBorders>
          </w:tcPr>
          <w:p w14:paraId="4F0D1F13">
            <w:pPr>
              <w:spacing w:before="156" w:beforeLines="50" w:line="360" w:lineRule="auto"/>
              <w:jc w:val="center"/>
              <w:rPr>
                <w:rFonts w:hint="eastAsia" w:ascii="仿宋" w:hAnsi="仿宋" w:eastAsia="仿宋" w:cs="仿宋"/>
                <w:color w:val="auto"/>
                <w:szCs w:val="24"/>
                <w:highlight w:val="none"/>
              </w:rPr>
            </w:pPr>
          </w:p>
        </w:tc>
        <w:tc>
          <w:tcPr>
            <w:tcW w:w="1050" w:type="dxa"/>
            <w:tcBorders>
              <w:top w:val="single" w:color="auto" w:sz="4" w:space="0"/>
              <w:left w:val="single" w:color="auto" w:sz="4" w:space="0"/>
              <w:bottom w:val="single" w:color="auto" w:sz="4" w:space="0"/>
              <w:right w:val="single" w:color="auto" w:sz="4" w:space="0"/>
            </w:tcBorders>
          </w:tcPr>
          <w:p w14:paraId="459230B7">
            <w:pPr>
              <w:spacing w:before="156" w:beforeLines="50" w:line="360" w:lineRule="auto"/>
              <w:jc w:val="center"/>
              <w:rPr>
                <w:rFonts w:hint="eastAsia" w:ascii="仿宋" w:hAnsi="仿宋" w:eastAsia="仿宋" w:cs="仿宋"/>
                <w:color w:val="auto"/>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4D3E6784">
            <w:pPr>
              <w:spacing w:before="156" w:beforeLines="50" w:line="360" w:lineRule="auto"/>
              <w:jc w:val="center"/>
              <w:rPr>
                <w:rFonts w:hint="eastAsia" w:ascii="仿宋" w:hAnsi="仿宋" w:eastAsia="仿宋" w:cs="仿宋"/>
                <w:color w:val="auto"/>
                <w:szCs w:val="24"/>
                <w:highlight w:val="none"/>
              </w:rPr>
            </w:pPr>
          </w:p>
        </w:tc>
        <w:tc>
          <w:tcPr>
            <w:tcW w:w="903" w:type="dxa"/>
            <w:tcBorders>
              <w:top w:val="single" w:color="auto" w:sz="4" w:space="0"/>
              <w:left w:val="single" w:color="auto" w:sz="4" w:space="0"/>
              <w:bottom w:val="single" w:color="auto" w:sz="4" w:space="0"/>
              <w:right w:val="single" w:color="auto" w:sz="4" w:space="0"/>
            </w:tcBorders>
          </w:tcPr>
          <w:p w14:paraId="69553557">
            <w:pPr>
              <w:spacing w:before="156" w:beforeLines="50" w:line="360" w:lineRule="auto"/>
              <w:jc w:val="center"/>
              <w:rPr>
                <w:rFonts w:hint="eastAsia" w:ascii="仿宋" w:hAnsi="仿宋" w:eastAsia="仿宋" w:cs="仿宋"/>
                <w:color w:val="auto"/>
                <w:szCs w:val="24"/>
                <w:highlight w:val="none"/>
              </w:rPr>
            </w:pPr>
          </w:p>
        </w:tc>
      </w:tr>
      <w:tr w14:paraId="4D1356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5601B3B1">
            <w:pPr>
              <w:spacing w:before="156" w:beforeLines="50" w:line="360" w:lineRule="auto"/>
              <w:jc w:val="center"/>
              <w:rPr>
                <w:rFonts w:hint="eastAsia" w:ascii="仿宋" w:hAnsi="仿宋" w:eastAsia="仿宋" w:cs="仿宋"/>
                <w:color w:val="auto"/>
                <w:szCs w:val="24"/>
                <w:highlight w:val="none"/>
              </w:rPr>
            </w:pPr>
          </w:p>
        </w:tc>
        <w:tc>
          <w:tcPr>
            <w:tcW w:w="960" w:type="dxa"/>
            <w:tcBorders>
              <w:top w:val="single" w:color="auto" w:sz="4" w:space="0"/>
              <w:left w:val="single" w:color="auto" w:sz="4" w:space="0"/>
              <w:bottom w:val="single" w:color="auto" w:sz="4" w:space="0"/>
              <w:right w:val="single" w:color="auto" w:sz="4" w:space="0"/>
            </w:tcBorders>
          </w:tcPr>
          <w:p w14:paraId="7F69D534">
            <w:pPr>
              <w:spacing w:before="156" w:beforeLines="50" w:line="360" w:lineRule="auto"/>
              <w:jc w:val="center"/>
              <w:rPr>
                <w:rFonts w:hint="eastAsia" w:ascii="仿宋" w:hAnsi="仿宋" w:eastAsia="仿宋" w:cs="仿宋"/>
                <w:color w:val="auto"/>
                <w:szCs w:val="24"/>
                <w:highlight w:val="none"/>
              </w:rPr>
            </w:pPr>
          </w:p>
        </w:tc>
        <w:tc>
          <w:tcPr>
            <w:tcW w:w="1485" w:type="dxa"/>
            <w:tcBorders>
              <w:top w:val="single" w:color="auto" w:sz="4" w:space="0"/>
              <w:left w:val="single" w:color="auto" w:sz="4" w:space="0"/>
              <w:bottom w:val="single" w:color="auto" w:sz="4" w:space="0"/>
              <w:right w:val="single" w:color="auto" w:sz="4" w:space="0"/>
            </w:tcBorders>
          </w:tcPr>
          <w:p w14:paraId="2E2BBE8E">
            <w:pPr>
              <w:spacing w:before="156" w:beforeLines="50" w:line="360" w:lineRule="auto"/>
              <w:jc w:val="center"/>
              <w:rPr>
                <w:rFonts w:hint="eastAsia" w:ascii="仿宋" w:hAnsi="仿宋" w:eastAsia="仿宋" w:cs="仿宋"/>
                <w:color w:val="auto"/>
                <w:szCs w:val="24"/>
                <w:highlight w:val="none"/>
              </w:rPr>
            </w:pPr>
          </w:p>
        </w:tc>
        <w:tc>
          <w:tcPr>
            <w:tcW w:w="1695" w:type="dxa"/>
            <w:tcBorders>
              <w:top w:val="single" w:color="auto" w:sz="4" w:space="0"/>
              <w:left w:val="single" w:color="auto" w:sz="4" w:space="0"/>
              <w:bottom w:val="single" w:color="auto" w:sz="4" w:space="0"/>
              <w:right w:val="single" w:color="auto" w:sz="4" w:space="0"/>
            </w:tcBorders>
          </w:tcPr>
          <w:p w14:paraId="37DD58DF">
            <w:pPr>
              <w:spacing w:before="156" w:beforeLines="50" w:line="360" w:lineRule="auto"/>
              <w:jc w:val="center"/>
              <w:rPr>
                <w:rFonts w:hint="eastAsia" w:ascii="仿宋" w:hAnsi="仿宋" w:eastAsia="仿宋" w:cs="仿宋"/>
                <w:color w:val="auto"/>
                <w:szCs w:val="24"/>
                <w:highlight w:val="none"/>
              </w:rPr>
            </w:pPr>
          </w:p>
        </w:tc>
        <w:tc>
          <w:tcPr>
            <w:tcW w:w="825" w:type="dxa"/>
            <w:tcBorders>
              <w:top w:val="single" w:color="auto" w:sz="4" w:space="0"/>
              <w:left w:val="single" w:color="auto" w:sz="4" w:space="0"/>
              <w:bottom w:val="single" w:color="auto" w:sz="4" w:space="0"/>
              <w:right w:val="single" w:color="auto" w:sz="4" w:space="0"/>
            </w:tcBorders>
          </w:tcPr>
          <w:p w14:paraId="146EB36C">
            <w:pPr>
              <w:spacing w:before="156" w:beforeLines="50" w:line="360" w:lineRule="auto"/>
              <w:jc w:val="center"/>
              <w:rPr>
                <w:rFonts w:hint="eastAsia" w:ascii="仿宋" w:hAnsi="仿宋" w:eastAsia="仿宋" w:cs="仿宋"/>
                <w:color w:val="auto"/>
                <w:szCs w:val="24"/>
                <w:highlight w:val="none"/>
              </w:rPr>
            </w:pPr>
          </w:p>
        </w:tc>
        <w:tc>
          <w:tcPr>
            <w:tcW w:w="735" w:type="dxa"/>
            <w:tcBorders>
              <w:top w:val="single" w:color="auto" w:sz="4" w:space="0"/>
              <w:left w:val="single" w:color="auto" w:sz="4" w:space="0"/>
              <w:bottom w:val="single" w:color="auto" w:sz="4" w:space="0"/>
              <w:right w:val="single" w:color="auto" w:sz="4" w:space="0"/>
            </w:tcBorders>
          </w:tcPr>
          <w:p w14:paraId="273B29A5">
            <w:pPr>
              <w:spacing w:before="156" w:beforeLines="50" w:line="360" w:lineRule="auto"/>
              <w:jc w:val="center"/>
              <w:rPr>
                <w:rFonts w:hint="eastAsia" w:ascii="仿宋" w:hAnsi="仿宋" w:eastAsia="仿宋" w:cs="仿宋"/>
                <w:color w:val="auto"/>
                <w:szCs w:val="24"/>
                <w:highlight w:val="none"/>
              </w:rPr>
            </w:pPr>
          </w:p>
        </w:tc>
        <w:tc>
          <w:tcPr>
            <w:tcW w:w="1050" w:type="dxa"/>
            <w:tcBorders>
              <w:top w:val="single" w:color="auto" w:sz="4" w:space="0"/>
              <w:left w:val="single" w:color="auto" w:sz="4" w:space="0"/>
              <w:bottom w:val="single" w:color="auto" w:sz="4" w:space="0"/>
              <w:right w:val="single" w:color="auto" w:sz="4" w:space="0"/>
            </w:tcBorders>
          </w:tcPr>
          <w:p w14:paraId="6E75C0BA">
            <w:pPr>
              <w:spacing w:before="156" w:beforeLines="50" w:line="360" w:lineRule="auto"/>
              <w:jc w:val="center"/>
              <w:rPr>
                <w:rFonts w:hint="eastAsia" w:ascii="仿宋" w:hAnsi="仿宋" w:eastAsia="仿宋" w:cs="仿宋"/>
                <w:color w:val="auto"/>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7F5159C7">
            <w:pPr>
              <w:spacing w:before="156" w:beforeLines="50" w:line="360" w:lineRule="auto"/>
              <w:jc w:val="center"/>
              <w:rPr>
                <w:rFonts w:hint="eastAsia" w:ascii="仿宋" w:hAnsi="仿宋" w:eastAsia="仿宋" w:cs="仿宋"/>
                <w:color w:val="auto"/>
                <w:szCs w:val="24"/>
                <w:highlight w:val="none"/>
              </w:rPr>
            </w:pPr>
          </w:p>
        </w:tc>
        <w:tc>
          <w:tcPr>
            <w:tcW w:w="903" w:type="dxa"/>
            <w:tcBorders>
              <w:top w:val="single" w:color="auto" w:sz="4" w:space="0"/>
              <w:left w:val="single" w:color="auto" w:sz="4" w:space="0"/>
              <w:bottom w:val="single" w:color="auto" w:sz="4" w:space="0"/>
              <w:right w:val="single" w:color="auto" w:sz="4" w:space="0"/>
            </w:tcBorders>
          </w:tcPr>
          <w:p w14:paraId="598EB01F">
            <w:pPr>
              <w:spacing w:before="156" w:beforeLines="50" w:line="360" w:lineRule="auto"/>
              <w:jc w:val="center"/>
              <w:rPr>
                <w:rFonts w:hint="eastAsia" w:ascii="仿宋" w:hAnsi="仿宋" w:eastAsia="仿宋" w:cs="仿宋"/>
                <w:color w:val="auto"/>
                <w:szCs w:val="24"/>
                <w:highlight w:val="none"/>
              </w:rPr>
            </w:pPr>
          </w:p>
        </w:tc>
      </w:tr>
      <w:tr w14:paraId="32420E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3DAEC3E3">
            <w:pPr>
              <w:spacing w:before="156" w:beforeLines="50" w:line="360" w:lineRule="auto"/>
              <w:jc w:val="center"/>
              <w:rPr>
                <w:rFonts w:hint="eastAsia" w:ascii="仿宋" w:hAnsi="仿宋" w:eastAsia="仿宋" w:cs="仿宋"/>
                <w:color w:val="auto"/>
                <w:szCs w:val="24"/>
                <w:highlight w:val="none"/>
              </w:rPr>
            </w:pPr>
          </w:p>
        </w:tc>
        <w:tc>
          <w:tcPr>
            <w:tcW w:w="960" w:type="dxa"/>
            <w:tcBorders>
              <w:top w:val="single" w:color="auto" w:sz="4" w:space="0"/>
              <w:left w:val="single" w:color="auto" w:sz="4" w:space="0"/>
              <w:bottom w:val="single" w:color="auto" w:sz="4" w:space="0"/>
              <w:right w:val="single" w:color="auto" w:sz="4" w:space="0"/>
            </w:tcBorders>
          </w:tcPr>
          <w:p w14:paraId="54678277">
            <w:pPr>
              <w:spacing w:before="156" w:beforeLines="50" w:line="360" w:lineRule="auto"/>
              <w:jc w:val="center"/>
              <w:rPr>
                <w:rFonts w:hint="eastAsia" w:ascii="仿宋" w:hAnsi="仿宋" w:eastAsia="仿宋" w:cs="仿宋"/>
                <w:color w:val="auto"/>
                <w:szCs w:val="24"/>
                <w:highlight w:val="none"/>
              </w:rPr>
            </w:pPr>
          </w:p>
        </w:tc>
        <w:tc>
          <w:tcPr>
            <w:tcW w:w="1485" w:type="dxa"/>
            <w:tcBorders>
              <w:top w:val="single" w:color="auto" w:sz="4" w:space="0"/>
              <w:left w:val="single" w:color="auto" w:sz="4" w:space="0"/>
              <w:bottom w:val="single" w:color="auto" w:sz="4" w:space="0"/>
              <w:right w:val="single" w:color="auto" w:sz="4" w:space="0"/>
            </w:tcBorders>
          </w:tcPr>
          <w:p w14:paraId="2BD2B8D6">
            <w:pPr>
              <w:spacing w:before="156" w:beforeLines="50" w:line="360" w:lineRule="auto"/>
              <w:jc w:val="center"/>
              <w:rPr>
                <w:rFonts w:hint="eastAsia" w:ascii="仿宋" w:hAnsi="仿宋" w:eastAsia="仿宋" w:cs="仿宋"/>
                <w:color w:val="auto"/>
                <w:szCs w:val="24"/>
                <w:highlight w:val="none"/>
              </w:rPr>
            </w:pPr>
          </w:p>
        </w:tc>
        <w:tc>
          <w:tcPr>
            <w:tcW w:w="1695" w:type="dxa"/>
            <w:tcBorders>
              <w:top w:val="single" w:color="auto" w:sz="4" w:space="0"/>
              <w:left w:val="single" w:color="auto" w:sz="4" w:space="0"/>
              <w:bottom w:val="single" w:color="auto" w:sz="4" w:space="0"/>
              <w:right w:val="single" w:color="auto" w:sz="4" w:space="0"/>
            </w:tcBorders>
          </w:tcPr>
          <w:p w14:paraId="3C62925C">
            <w:pPr>
              <w:spacing w:before="156" w:beforeLines="50" w:line="360" w:lineRule="auto"/>
              <w:jc w:val="center"/>
              <w:rPr>
                <w:rFonts w:hint="eastAsia" w:ascii="仿宋" w:hAnsi="仿宋" w:eastAsia="仿宋" w:cs="仿宋"/>
                <w:color w:val="auto"/>
                <w:szCs w:val="24"/>
                <w:highlight w:val="none"/>
              </w:rPr>
            </w:pPr>
          </w:p>
        </w:tc>
        <w:tc>
          <w:tcPr>
            <w:tcW w:w="825" w:type="dxa"/>
            <w:tcBorders>
              <w:top w:val="single" w:color="auto" w:sz="4" w:space="0"/>
              <w:left w:val="single" w:color="auto" w:sz="4" w:space="0"/>
              <w:bottom w:val="single" w:color="auto" w:sz="4" w:space="0"/>
              <w:right w:val="single" w:color="auto" w:sz="4" w:space="0"/>
            </w:tcBorders>
          </w:tcPr>
          <w:p w14:paraId="756E2619">
            <w:pPr>
              <w:spacing w:before="156" w:beforeLines="50" w:line="360" w:lineRule="auto"/>
              <w:jc w:val="center"/>
              <w:rPr>
                <w:rFonts w:hint="eastAsia" w:ascii="仿宋" w:hAnsi="仿宋" w:eastAsia="仿宋" w:cs="仿宋"/>
                <w:color w:val="auto"/>
                <w:szCs w:val="24"/>
                <w:highlight w:val="none"/>
              </w:rPr>
            </w:pPr>
          </w:p>
        </w:tc>
        <w:tc>
          <w:tcPr>
            <w:tcW w:w="735" w:type="dxa"/>
            <w:tcBorders>
              <w:top w:val="single" w:color="auto" w:sz="4" w:space="0"/>
              <w:left w:val="single" w:color="auto" w:sz="4" w:space="0"/>
              <w:bottom w:val="single" w:color="auto" w:sz="4" w:space="0"/>
              <w:right w:val="single" w:color="auto" w:sz="4" w:space="0"/>
            </w:tcBorders>
          </w:tcPr>
          <w:p w14:paraId="059A1AB1">
            <w:pPr>
              <w:spacing w:before="156" w:beforeLines="50" w:line="360" w:lineRule="auto"/>
              <w:jc w:val="center"/>
              <w:rPr>
                <w:rFonts w:hint="eastAsia" w:ascii="仿宋" w:hAnsi="仿宋" w:eastAsia="仿宋" w:cs="仿宋"/>
                <w:color w:val="auto"/>
                <w:szCs w:val="24"/>
                <w:highlight w:val="none"/>
              </w:rPr>
            </w:pPr>
          </w:p>
        </w:tc>
        <w:tc>
          <w:tcPr>
            <w:tcW w:w="1050" w:type="dxa"/>
            <w:tcBorders>
              <w:top w:val="single" w:color="auto" w:sz="4" w:space="0"/>
              <w:left w:val="single" w:color="auto" w:sz="4" w:space="0"/>
              <w:bottom w:val="single" w:color="auto" w:sz="4" w:space="0"/>
              <w:right w:val="single" w:color="auto" w:sz="4" w:space="0"/>
            </w:tcBorders>
          </w:tcPr>
          <w:p w14:paraId="56D39370">
            <w:pPr>
              <w:spacing w:before="156" w:beforeLines="50" w:line="360" w:lineRule="auto"/>
              <w:jc w:val="center"/>
              <w:rPr>
                <w:rFonts w:hint="eastAsia" w:ascii="仿宋" w:hAnsi="仿宋" w:eastAsia="仿宋" w:cs="仿宋"/>
                <w:color w:val="auto"/>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0FC03576">
            <w:pPr>
              <w:spacing w:before="156" w:beforeLines="50" w:line="360" w:lineRule="auto"/>
              <w:jc w:val="center"/>
              <w:rPr>
                <w:rFonts w:hint="eastAsia" w:ascii="仿宋" w:hAnsi="仿宋" w:eastAsia="仿宋" w:cs="仿宋"/>
                <w:color w:val="auto"/>
                <w:szCs w:val="24"/>
                <w:highlight w:val="none"/>
              </w:rPr>
            </w:pPr>
          </w:p>
        </w:tc>
        <w:tc>
          <w:tcPr>
            <w:tcW w:w="903" w:type="dxa"/>
            <w:tcBorders>
              <w:top w:val="single" w:color="auto" w:sz="4" w:space="0"/>
              <w:left w:val="single" w:color="auto" w:sz="4" w:space="0"/>
              <w:bottom w:val="single" w:color="auto" w:sz="4" w:space="0"/>
              <w:right w:val="single" w:color="auto" w:sz="4" w:space="0"/>
            </w:tcBorders>
          </w:tcPr>
          <w:p w14:paraId="54E7E0B0">
            <w:pPr>
              <w:spacing w:before="156" w:beforeLines="50" w:line="360" w:lineRule="auto"/>
              <w:jc w:val="center"/>
              <w:rPr>
                <w:rFonts w:hint="eastAsia" w:ascii="仿宋" w:hAnsi="仿宋" w:eastAsia="仿宋" w:cs="仿宋"/>
                <w:color w:val="auto"/>
                <w:szCs w:val="24"/>
                <w:highlight w:val="none"/>
              </w:rPr>
            </w:pPr>
          </w:p>
        </w:tc>
      </w:tr>
      <w:tr w14:paraId="559CAE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0475F894">
            <w:pPr>
              <w:spacing w:before="156" w:beforeLines="50" w:line="360" w:lineRule="auto"/>
              <w:jc w:val="center"/>
              <w:rPr>
                <w:rFonts w:hint="eastAsia" w:ascii="仿宋" w:hAnsi="仿宋" w:eastAsia="仿宋" w:cs="仿宋"/>
                <w:color w:val="auto"/>
                <w:szCs w:val="24"/>
                <w:highlight w:val="none"/>
              </w:rPr>
            </w:pPr>
          </w:p>
        </w:tc>
        <w:tc>
          <w:tcPr>
            <w:tcW w:w="960" w:type="dxa"/>
            <w:tcBorders>
              <w:top w:val="single" w:color="auto" w:sz="4" w:space="0"/>
              <w:left w:val="single" w:color="auto" w:sz="4" w:space="0"/>
              <w:bottom w:val="single" w:color="auto" w:sz="4" w:space="0"/>
              <w:right w:val="single" w:color="auto" w:sz="4" w:space="0"/>
            </w:tcBorders>
          </w:tcPr>
          <w:p w14:paraId="2B988AE7">
            <w:pPr>
              <w:spacing w:before="156" w:beforeLines="50" w:line="360" w:lineRule="auto"/>
              <w:jc w:val="center"/>
              <w:rPr>
                <w:rFonts w:hint="eastAsia" w:ascii="仿宋" w:hAnsi="仿宋" w:eastAsia="仿宋" w:cs="仿宋"/>
                <w:color w:val="auto"/>
                <w:szCs w:val="24"/>
                <w:highlight w:val="none"/>
              </w:rPr>
            </w:pPr>
          </w:p>
        </w:tc>
        <w:tc>
          <w:tcPr>
            <w:tcW w:w="1485" w:type="dxa"/>
            <w:tcBorders>
              <w:top w:val="single" w:color="auto" w:sz="4" w:space="0"/>
              <w:left w:val="single" w:color="auto" w:sz="4" w:space="0"/>
              <w:bottom w:val="single" w:color="auto" w:sz="4" w:space="0"/>
              <w:right w:val="single" w:color="auto" w:sz="4" w:space="0"/>
            </w:tcBorders>
          </w:tcPr>
          <w:p w14:paraId="75AC6A1C">
            <w:pPr>
              <w:spacing w:before="156" w:beforeLines="50" w:line="360" w:lineRule="auto"/>
              <w:jc w:val="center"/>
              <w:rPr>
                <w:rFonts w:hint="eastAsia" w:ascii="仿宋" w:hAnsi="仿宋" w:eastAsia="仿宋" w:cs="仿宋"/>
                <w:color w:val="auto"/>
                <w:szCs w:val="24"/>
                <w:highlight w:val="none"/>
              </w:rPr>
            </w:pPr>
          </w:p>
        </w:tc>
        <w:tc>
          <w:tcPr>
            <w:tcW w:w="1695" w:type="dxa"/>
            <w:tcBorders>
              <w:top w:val="single" w:color="auto" w:sz="4" w:space="0"/>
              <w:left w:val="single" w:color="auto" w:sz="4" w:space="0"/>
              <w:bottom w:val="single" w:color="auto" w:sz="4" w:space="0"/>
              <w:right w:val="single" w:color="auto" w:sz="4" w:space="0"/>
            </w:tcBorders>
          </w:tcPr>
          <w:p w14:paraId="211B212D">
            <w:pPr>
              <w:spacing w:before="156" w:beforeLines="50" w:line="360" w:lineRule="auto"/>
              <w:jc w:val="center"/>
              <w:rPr>
                <w:rFonts w:hint="eastAsia" w:ascii="仿宋" w:hAnsi="仿宋" w:eastAsia="仿宋" w:cs="仿宋"/>
                <w:color w:val="auto"/>
                <w:szCs w:val="24"/>
                <w:highlight w:val="none"/>
              </w:rPr>
            </w:pPr>
          </w:p>
        </w:tc>
        <w:tc>
          <w:tcPr>
            <w:tcW w:w="825" w:type="dxa"/>
            <w:tcBorders>
              <w:top w:val="single" w:color="auto" w:sz="4" w:space="0"/>
              <w:left w:val="single" w:color="auto" w:sz="4" w:space="0"/>
              <w:bottom w:val="single" w:color="auto" w:sz="4" w:space="0"/>
              <w:right w:val="single" w:color="auto" w:sz="4" w:space="0"/>
            </w:tcBorders>
          </w:tcPr>
          <w:p w14:paraId="04F64E74">
            <w:pPr>
              <w:spacing w:before="156" w:beforeLines="50" w:line="360" w:lineRule="auto"/>
              <w:jc w:val="center"/>
              <w:rPr>
                <w:rFonts w:hint="eastAsia" w:ascii="仿宋" w:hAnsi="仿宋" w:eastAsia="仿宋" w:cs="仿宋"/>
                <w:color w:val="auto"/>
                <w:szCs w:val="24"/>
                <w:highlight w:val="none"/>
              </w:rPr>
            </w:pPr>
          </w:p>
        </w:tc>
        <w:tc>
          <w:tcPr>
            <w:tcW w:w="735" w:type="dxa"/>
            <w:tcBorders>
              <w:top w:val="single" w:color="auto" w:sz="4" w:space="0"/>
              <w:left w:val="single" w:color="auto" w:sz="4" w:space="0"/>
              <w:bottom w:val="single" w:color="auto" w:sz="4" w:space="0"/>
              <w:right w:val="single" w:color="auto" w:sz="4" w:space="0"/>
            </w:tcBorders>
          </w:tcPr>
          <w:p w14:paraId="7385480B">
            <w:pPr>
              <w:spacing w:before="156" w:beforeLines="50" w:line="360" w:lineRule="auto"/>
              <w:jc w:val="center"/>
              <w:rPr>
                <w:rFonts w:hint="eastAsia" w:ascii="仿宋" w:hAnsi="仿宋" w:eastAsia="仿宋" w:cs="仿宋"/>
                <w:color w:val="auto"/>
                <w:szCs w:val="24"/>
                <w:highlight w:val="none"/>
              </w:rPr>
            </w:pPr>
          </w:p>
        </w:tc>
        <w:tc>
          <w:tcPr>
            <w:tcW w:w="1050" w:type="dxa"/>
            <w:tcBorders>
              <w:top w:val="single" w:color="auto" w:sz="4" w:space="0"/>
              <w:left w:val="single" w:color="auto" w:sz="4" w:space="0"/>
              <w:bottom w:val="single" w:color="auto" w:sz="4" w:space="0"/>
              <w:right w:val="single" w:color="auto" w:sz="4" w:space="0"/>
            </w:tcBorders>
          </w:tcPr>
          <w:p w14:paraId="535C03AF">
            <w:pPr>
              <w:spacing w:before="156" w:beforeLines="50" w:line="360" w:lineRule="auto"/>
              <w:jc w:val="center"/>
              <w:rPr>
                <w:rFonts w:hint="eastAsia" w:ascii="仿宋" w:hAnsi="仿宋" w:eastAsia="仿宋" w:cs="仿宋"/>
                <w:color w:val="auto"/>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009FA399">
            <w:pPr>
              <w:spacing w:before="156" w:beforeLines="50" w:line="360" w:lineRule="auto"/>
              <w:jc w:val="center"/>
              <w:rPr>
                <w:rFonts w:hint="eastAsia" w:ascii="仿宋" w:hAnsi="仿宋" w:eastAsia="仿宋" w:cs="仿宋"/>
                <w:color w:val="auto"/>
                <w:szCs w:val="24"/>
                <w:highlight w:val="none"/>
              </w:rPr>
            </w:pPr>
          </w:p>
        </w:tc>
        <w:tc>
          <w:tcPr>
            <w:tcW w:w="903" w:type="dxa"/>
            <w:tcBorders>
              <w:top w:val="single" w:color="auto" w:sz="4" w:space="0"/>
              <w:left w:val="single" w:color="auto" w:sz="4" w:space="0"/>
              <w:bottom w:val="single" w:color="auto" w:sz="4" w:space="0"/>
              <w:right w:val="single" w:color="auto" w:sz="4" w:space="0"/>
            </w:tcBorders>
          </w:tcPr>
          <w:p w14:paraId="583CC110">
            <w:pPr>
              <w:spacing w:before="156" w:beforeLines="50" w:line="360" w:lineRule="auto"/>
              <w:jc w:val="center"/>
              <w:rPr>
                <w:rFonts w:hint="eastAsia" w:ascii="仿宋" w:hAnsi="仿宋" w:eastAsia="仿宋" w:cs="仿宋"/>
                <w:color w:val="auto"/>
                <w:szCs w:val="24"/>
                <w:highlight w:val="none"/>
              </w:rPr>
            </w:pPr>
          </w:p>
        </w:tc>
      </w:tr>
    </w:tbl>
    <w:p w14:paraId="7E9E4C4E">
      <w:pPr>
        <w:spacing w:line="360" w:lineRule="auto"/>
        <w:rPr>
          <w:rFonts w:hint="eastAsia" w:ascii="仿宋" w:hAnsi="仿宋" w:eastAsia="仿宋" w:cs="仿宋"/>
          <w:color w:val="auto"/>
          <w:highlight w:val="none"/>
        </w:rPr>
      </w:pPr>
      <w:r>
        <w:rPr>
          <w:rFonts w:hint="eastAsia" w:ascii="仿宋" w:hAnsi="仿宋" w:eastAsia="仿宋" w:cs="仿宋"/>
          <w:b/>
          <w:color w:val="auto"/>
          <w:szCs w:val="24"/>
          <w:highlight w:val="none"/>
        </w:rPr>
        <w:t xml:space="preserve">八、运输、安装、调试要求 </w:t>
      </w:r>
    </w:p>
    <w:p w14:paraId="7F274DA5">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1.供应商根据产品特性，自行选择运输及包装方式，承担一切运输费用，包括从生产厂到采购人指定交货地点所需的装卸、运输（含保险费）及其他一切费用。</w:t>
      </w:r>
    </w:p>
    <w:p w14:paraId="2CB111C1">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2.由供应商安装、调试及试运行的进度计划表。</w:t>
      </w:r>
    </w:p>
    <w:p w14:paraId="19816805">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3.供应商应在合同规定的安装调试期内完成该项工作。如因供应商责任而造成延期，每超过一天按合同总价款的（1‰）支付采购人误期赔偿金，直至交货或提供服务结束为止，所有因延期而产生的费用由供应商承担。</w:t>
      </w:r>
    </w:p>
    <w:p w14:paraId="091B1E27">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4.安装和调试期间所发生的费用均由供应商负责。</w:t>
      </w:r>
    </w:p>
    <w:p w14:paraId="167095EA">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5.供应商应对安装调试、整改等实施过程的安全负责，如发生人身伤亡、财产损失的由供应商负责解决并承担全部责任。</w:t>
      </w:r>
    </w:p>
    <w:p w14:paraId="59AA2D35">
      <w:pPr>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九、技术支持</w:t>
      </w:r>
    </w:p>
    <w:p w14:paraId="4820615F">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1.提供质保期内全年7×24小时的技术咨询服务。供应商怠于或无法提供技术具备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79471C27">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2.供应商在项目实施过程中，质量保障人员、资源不足或者执行不力，给项目质量带来的风险超出采购人认定的允许范围时，采购人可终止本项目的合作并进行索赔。</w:t>
      </w:r>
    </w:p>
    <w:p w14:paraId="5B728FDE">
      <w:pPr>
        <w:spacing w:line="360" w:lineRule="auto"/>
        <w:rPr>
          <w:rFonts w:hint="eastAsia" w:ascii="仿宋" w:hAnsi="仿宋" w:eastAsia="仿宋" w:cs="仿宋"/>
          <w:b/>
          <w:bCs/>
          <w:color w:val="auto"/>
          <w:szCs w:val="24"/>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szCs w:val="24"/>
          <w:highlight w:val="none"/>
        </w:rPr>
        <w:t>技术培训</w:t>
      </w:r>
    </w:p>
    <w:p w14:paraId="12B8A7DF">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应包括产品使用操作、保养、维修等培训内容。供应商需</w:t>
      </w:r>
      <w:r>
        <w:rPr>
          <w:rFonts w:hint="eastAsia" w:ascii="仿宋" w:hAnsi="仿宋" w:eastAsia="仿宋" w:cs="仿宋"/>
          <w:color w:val="auto"/>
          <w:highlight w:val="none"/>
        </w:rPr>
        <w:t>按采购人要求的时间为</w:t>
      </w:r>
      <w:r>
        <w:rPr>
          <w:rFonts w:hint="eastAsia" w:ascii="仿宋" w:hAnsi="仿宋" w:eastAsia="仿宋" w:cs="仿宋"/>
          <w:color w:val="auto"/>
          <w:szCs w:val="24"/>
          <w:highlight w:val="none"/>
        </w:rPr>
        <w:t>采购人免费培训技术人员若干名，培训服务以受培训人员熟练掌握相应技能为原则。在产品投入使用初期进行必要的跟踪指导，保障产品的稳定运行。谈判产品需在培训基地培训的，供应商应按要求履行，培训产生的交通费、食宿费、培训费等均由供应商承担。</w:t>
      </w:r>
    </w:p>
    <w:p w14:paraId="27EC6F80">
      <w:pPr>
        <w:spacing w:line="360" w:lineRule="auto"/>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十一、技术资料要求</w:t>
      </w:r>
    </w:p>
    <w:p w14:paraId="697574CB">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供应商应向采购人提供全套中文技术资料一套，其费用包括在</w:t>
      </w:r>
      <w:r>
        <w:rPr>
          <w:rFonts w:hint="eastAsia" w:ascii="仿宋" w:hAnsi="仿宋" w:eastAsia="仿宋" w:cs="仿宋"/>
          <w:color w:val="auto"/>
          <w:szCs w:val="24"/>
          <w:highlight w:val="none"/>
        </w:rPr>
        <w:t>谈判</w:t>
      </w:r>
      <w:r>
        <w:rPr>
          <w:rFonts w:hint="eastAsia" w:ascii="仿宋" w:hAnsi="仿宋" w:eastAsia="仿宋" w:cs="仿宋"/>
          <w:color w:val="auto"/>
          <w:szCs w:val="22"/>
          <w:highlight w:val="none"/>
        </w:rPr>
        <w:t>价格中：</w:t>
      </w:r>
    </w:p>
    <w:p w14:paraId="6C46465C">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1.完整的产品操作使用手册、说明书和维护、修理技术文件，图纸（线路图、原理图等）、保修卡等；</w:t>
      </w:r>
    </w:p>
    <w:p w14:paraId="4C9FD8EB">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2.制造厂的检验、测试报告、产品检验合格证书，质量保证书等文件验收时须一并提供；</w:t>
      </w:r>
    </w:p>
    <w:p w14:paraId="7C0E2635">
      <w:pPr>
        <w:spacing w:line="360" w:lineRule="auto"/>
        <w:ind w:firstLine="420" w:firstLineChars="200"/>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3.产品验收标准；</w:t>
      </w:r>
    </w:p>
    <w:p w14:paraId="1AE82F05">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4.技术说明书及必需的其它技术资料；</w:t>
      </w:r>
    </w:p>
    <w:p w14:paraId="5EE0E056">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5.产品安装，调试、维修线路图及原理图；</w:t>
      </w:r>
    </w:p>
    <w:p w14:paraId="0BF219F6">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6.零部件目录；</w:t>
      </w:r>
    </w:p>
    <w:p w14:paraId="4418C1A5">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7.备品备件、易损件清单；</w:t>
      </w:r>
    </w:p>
    <w:p w14:paraId="0D39264E">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8.整体验收后提供验收报告；</w:t>
      </w:r>
    </w:p>
    <w:p w14:paraId="3E8D6A5C">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9.合同中要求的其他文件资料；</w:t>
      </w:r>
    </w:p>
    <w:p w14:paraId="32356AA6">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10.检定/校准报告。</w:t>
      </w:r>
    </w:p>
    <w:p w14:paraId="46AE8FFC">
      <w:pPr>
        <w:spacing w:line="360" w:lineRule="auto"/>
        <w:rPr>
          <w:rFonts w:hint="default" w:ascii="仿宋" w:hAnsi="仿宋" w:eastAsia="仿宋" w:cs="仿宋"/>
          <w:b/>
          <w:bCs/>
          <w:color w:val="auto"/>
          <w:szCs w:val="24"/>
          <w:highlight w:val="none"/>
          <w:lang w:val="en-US" w:eastAsia="zh-CN"/>
        </w:rPr>
      </w:pPr>
      <w:r>
        <w:rPr>
          <w:rFonts w:hint="eastAsia" w:ascii="仿宋" w:hAnsi="仿宋" w:eastAsia="仿宋" w:cs="仿宋"/>
          <w:b/>
          <w:bCs/>
          <w:color w:val="auto"/>
          <w:szCs w:val="24"/>
          <w:highlight w:val="none"/>
          <w:lang w:val="en-US" w:eastAsia="zh-CN"/>
        </w:rPr>
        <w:t>十二、双方的权利与义务</w:t>
      </w:r>
    </w:p>
    <w:p w14:paraId="0AB97EF1">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甲方的权利与义务</w:t>
      </w:r>
    </w:p>
    <w:p w14:paraId="1EEFD6D3">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1.甲方交付的场地已经具备设备安装条件，安装时甲方予以配合。</w:t>
      </w:r>
    </w:p>
    <w:p w14:paraId="0BC4CD58">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2.为乙方提供现场安装材料存放场地。</w:t>
      </w:r>
    </w:p>
    <w:p w14:paraId="050BB3B6">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3.协调乙方在安装、验收等期间与其他相关单位的关系。</w:t>
      </w:r>
    </w:p>
    <w:p w14:paraId="163B4A96">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4.按合同规定的时间和金额向乙方支付合同款。</w:t>
      </w:r>
    </w:p>
    <w:p w14:paraId="6935A7D7">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乙方的权利与义务</w:t>
      </w:r>
    </w:p>
    <w:p w14:paraId="3A0971AC">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 xml:space="preserve">1.按投标文件、采购合同的规定设计、制造、安装调试设备，并保证产品质量。 </w:t>
      </w:r>
    </w:p>
    <w:p w14:paraId="5358AA59">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2.按设备安装的有关规定和甲方要求，做好施工现场的安全管理。因产品生产、安装等产生的安全等一切责任，均有乙方负责。</w:t>
      </w:r>
    </w:p>
    <w:p w14:paraId="22AF4FF7">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3.遵守国家、地方对施工现场市容环境和施工噪音的管理规定，做好施工现场的文明施工、安全保卫、防火防盗工作，确保施工顺利进行。如因违反上述相关规定产生的行政、民事等一切责任由乙方独自承担。</w:t>
      </w:r>
    </w:p>
    <w:p w14:paraId="064A2E31">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4.在设备交付使用时，向甲方提供主要设备的合格证、设备使用说明书等资料。</w:t>
      </w:r>
    </w:p>
    <w:p w14:paraId="71BFB0FF">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5.根据甲方需要，乙方免费为甲方指定的设备操作及管理人员进行培训，并提供免费咨询服务。</w:t>
      </w:r>
    </w:p>
    <w:p w14:paraId="436F8220">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6.在作业现场安装及调试过程中，乙方应积极配合项目施工总包、装饰装修等单位，完成产品的安装调试（联调）工作。</w:t>
      </w:r>
    </w:p>
    <w:p w14:paraId="1C75C0CE">
      <w:pPr>
        <w:spacing w:line="360" w:lineRule="auto"/>
        <w:ind w:firstLine="420" w:firstLineChars="200"/>
        <w:rPr>
          <w:rFonts w:hint="eastAsia" w:ascii="仿宋" w:hAnsi="仿宋" w:eastAsia="仿宋" w:cs="仿宋"/>
          <w:b/>
          <w:bCs/>
          <w:color w:val="auto"/>
          <w:szCs w:val="24"/>
          <w:highlight w:val="none"/>
        </w:rPr>
      </w:pPr>
      <w:r>
        <w:rPr>
          <w:rFonts w:hint="eastAsia" w:ascii="仿宋" w:hAnsi="仿宋" w:eastAsia="仿宋" w:cs="仿宋"/>
          <w:color w:val="auto"/>
          <w:szCs w:val="22"/>
          <w:highlight w:val="none"/>
        </w:rPr>
        <w:t>7.完工验收前，因运输、搬运、保管、安装等不到位致使设备损坏、质量下降等所产生的所有费用由乙方承担。</w:t>
      </w:r>
    </w:p>
    <w:p w14:paraId="2C0FD319">
      <w:pPr>
        <w:spacing w:line="360" w:lineRule="auto"/>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十</w:t>
      </w:r>
      <w:r>
        <w:rPr>
          <w:rFonts w:hint="eastAsia" w:ascii="仿宋" w:hAnsi="仿宋" w:eastAsia="仿宋" w:cs="仿宋"/>
          <w:b/>
          <w:bCs/>
          <w:color w:val="auto"/>
          <w:szCs w:val="24"/>
          <w:highlight w:val="none"/>
          <w:lang w:val="en-US" w:eastAsia="zh-CN"/>
        </w:rPr>
        <w:t>三</w:t>
      </w:r>
      <w:r>
        <w:rPr>
          <w:rFonts w:hint="eastAsia" w:ascii="仿宋" w:hAnsi="仿宋" w:eastAsia="仿宋" w:cs="仿宋"/>
          <w:b/>
          <w:bCs/>
          <w:color w:val="auto"/>
          <w:szCs w:val="24"/>
          <w:highlight w:val="none"/>
        </w:rPr>
        <w:t>、质量保证</w:t>
      </w:r>
    </w:p>
    <w:p w14:paraId="0E27FD1D">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szCs w:val="24"/>
          <w:highlight w:val="none"/>
        </w:rPr>
        <w:t>1.供应商</w:t>
      </w:r>
      <w:r>
        <w:rPr>
          <w:rFonts w:hint="eastAsia" w:ascii="仿宋" w:hAnsi="仿宋" w:eastAsia="仿宋" w:cs="仿宋"/>
          <w:color w:val="auto"/>
          <w:highlight w:val="none"/>
        </w:rPr>
        <w:t>提供的</w:t>
      </w:r>
      <w:r>
        <w:rPr>
          <w:rFonts w:hint="eastAsia" w:ascii="仿宋" w:hAnsi="仿宋" w:eastAsia="仿宋" w:cs="仿宋"/>
          <w:color w:val="auto"/>
          <w:szCs w:val="24"/>
          <w:highlight w:val="none"/>
        </w:rPr>
        <w:t>产品</w:t>
      </w:r>
      <w:r>
        <w:rPr>
          <w:rFonts w:hint="eastAsia" w:ascii="仿宋" w:hAnsi="仿宋" w:eastAsia="仿宋" w:cs="仿宋"/>
          <w:color w:val="auto"/>
          <w:highlight w:val="none"/>
        </w:rPr>
        <w:t>及材料必须保证质量可靠，为市场最新或主流</w:t>
      </w:r>
      <w:r>
        <w:rPr>
          <w:rFonts w:hint="eastAsia" w:ascii="仿宋" w:hAnsi="仿宋" w:eastAsia="仿宋" w:cs="仿宋"/>
          <w:color w:val="auto"/>
          <w:szCs w:val="24"/>
          <w:highlight w:val="none"/>
        </w:rPr>
        <w:t>产品</w:t>
      </w:r>
      <w:r>
        <w:rPr>
          <w:rFonts w:hint="eastAsia" w:ascii="仿宋" w:hAnsi="仿宋" w:eastAsia="仿宋" w:cs="仿宋"/>
          <w:color w:val="auto"/>
          <w:highlight w:val="none"/>
        </w:rPr>
        <w:t>，进货渠道正常，配置合理齐全，应全面满足竞争性</w:t>
      </w:r>
      <w:r>
        <w:rPr>
          <w:rFonts w:hint="eastAsia" w:ascii="仿宋" w:hAnsi="仿宋" w:eastAsia="仿宋" w:cs="仿宋"/>
          <w:color w:val="auto"/>
          <w:szCs w:val="24"/>
          <w:highlight w:val="none"/>
        </w:rPr>
        <w:t>谈判</w:t>
      </w:r>
      <w:r>
        <w:rPr>
          <w:rFonts w:hint="eastAsia" w:ascii="仿宋" w:hAnsi="仿宋" w:eastAsia="仿宋" w:cs="仿宋"/>
          <w:color w:val="auto"/>
          <w:highlight w:val="none"/>
        </w:rPr>
        <w:t>文件的要求，竞争性</w:t>
      </w:r>
      <w:r>
        <w:rPr>
          <w:rFonts w:hint="eastAsia" w:ascii="仿宋" w:hAnsi="仿宋" w:eastAsia="仿宋" w:cs="仿宋"/>
          <w:color w:val="auto"/>
          <w:szCs w:val="24"/>
          <w:highlight w:val="none"/>
        </w:rPr>
        <w:t>谈判</w:t>
      </w:r>
      <w:r>
        <w:rPr>
          <w:rFonts w:hint="eastAsia" w:ascii="仿宋" w:hAnsi="仿宋" w:eastAsia="仿宋" w:cs="仿宋"/>
          <w:color w:val="auto"/>
          <w:highlight w:val="none"/>
        </w:rPr>
        <w:t>文件未明确要求的内容，供应商须按采购</w:t>
      </w:r>
      <w:r>
        <w:rPr>
          <w:rFonts w:hint="eastAsia" w:ascii="仿宋" w:hAnsi="仿宋" w:eastAsia="仿宋" w:cs="仿宋"/>
          <w:color w:val="auto"/>
          <w:szCs w:val="24"/>
          <w:highlight w:val="none"/>
        </w:rPr>
        <w:t>产品</w:t>
      </w:r>
      <w:r>
        <w:rPr>
          <w:rFonts w:hint="eastAsia" w:ascii="仿宋" w:hAnsi="仿宋" w:eastAsia="仿宋" w:cs="仿宋"/>
          <w:color w:val="auto"/>
          <w:highlight w:val="none"/>
        </w:rPr>
        <w:t>主流标准配置或以采购人的补充要求为准。所供产品工艺质量应严格按国家最新发布的规范标准执行，如发生质量问题由供应商承担全部责任。</w:t>
      </w:r>
    </w:p>
    <w:p w14:paraId="0304E6F7">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2.供应商应保证所有产品的完好无损包括配套包装，如有缺漏、损坏，由供应商负责调换、补齐或赔偿。</w:t>
      </w:r>
    </w:p>
    <w:p w14:paraId="0412B0F2">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3.采购人使用产品过程中因产品质量、产品缺陷及安装质量等造成人身伤亡、财产损失的，由供应商负责解决并承担全部责任。</w:t>
      </w:r>
    </w:p>
    <w:p w14:paraId="47885246">
      <w:pPr>
        <w:tabs>
          <w:tab w:val="left" w:pos="1080"/>
        </w:tabs>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4.供应商应提供可承担维修职能的公司、全资分公司或办事处，并驻守多名维护技术人员，并提供地点、联系人（常驻工程师）及联系电话（服务热线），随时解答各种疑问（需提供相关证明材料）</w:t>
      </w:r>
      <w:r>
        <w:rPr>
          <w:rFonts w:hint="eastAsia" w:ascii="仿宋" w:hAnsi="仿宋" w:eastAsia="仿宋" w:cs="仿宋"/>
          <w:color w:val="auto"/>
          <w:szCs w:val="21"/>
          <w:highlight w:val="none"/>
        </w:rPr>
        <w:t>。</w:t>
      </w:r>
    </w:p>
    <w:p w14:paraId="6B53F473">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5</w:t>
      </w:r>
      <w:r>
        <w:rPr>
          <w:rFonts w:hint="eastAsia" w:ascii="仿宋" w:hAnsi="仿宋" w:eastAsia="仿宋" w:cs="仿宋"/>
          <w:color w:val="auto"/>
          <w:szCs w:val="24"/>
          <w:highlight w:val="none"/>
        </w:rPr>
        <w:t>.对于存在质量问题或者短少的产品，供应商应在接到采购人的通知2个日历日内负责修复，调换、重新制作或补齐。</w:t>
      </w:r>
    </w:p>
    <w:p w14:paraId="78C214AF">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6</w:t>
      </w:r>
      <w:r>
        <w:rPr>
          <w:rFonts w:hint="eastAsia" w:ascii="仿宋" w:hAnsi="仿宋" w:eastAsia="仿宋" w:cs="仿宋"/>
          <w:color w:val="auto"/>
          <w:szCs w:val="24"/>
          <w:highlight w:val="none"/>
        </w:rPr>
        <w:t>.在最终验收后的质量保证期内，供应商应对设计、工艺或材料等的缺陷而产生的故障负责（负责解决并承担全部费用）。质保期满后如出现此类问题亦应负责。</w:t>
      </w:r>
    </w:p>
    <w:p w14:paraId="7F3A7A3C">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7</w:t>
      </w:r>
      <w:r>
        <w:rPr>
          <w:rFonts w:hint="eastAsia" w:ascii="仿宋" w:hAnsi="仿宋" w:eastAsia="仿宋" w:cs="仿宋"/>
          <w:color w:val="auto"/>
          <w:szCs w:val="24"/>
          <w:highlight w:val="none"/>
        </w:rPr>
        <w:t>.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竞争性谈判文件要求对待。</w:t>
      </w:r>
    </w:p>
    <w:p w14:paraId="16321946">
      <w:pPr>
        <w:spacing w:line="360" w:lineRule="auto"/>
        <w:ind w:firstLine="420" w:firstLineChars="200"/>
        <w:rPr>
          <w:rFonts w:hint="eastAsia" w:ascii="仿宋" w:hAnsi="仿宋" w:eastAsia="仿宋" w:cs="仿宋"/>
          <w:b/>
          <w:color w:val="auto"/>
          <w:szCs w:val="24"/>
          <w:highlight w:val="none"/>
        </w:rPr>
      </w:pPr>
      <w:r>
        <w:rPr>
          <w:rFonts w:hint="eastAsia" w:ascii="仿宋" w:hAnsi="仿宋" w:eastAsia="仿宋" w:cs="仿宋"/>
          <w:color w:val="auto"/>
          <w:szCs w:val="24"/>
          <w:highlight w:val="none"/>
          <w:lang w:val="en-US" w:eastAsia="zh-CN"/>
        </w:rPr>
        <w:t>8</w:t>
      </w:r>
      <w:r>
        <w:rPr>
          <w:rFonts w:hint="eastAsia" w:ascii="仿宋" w:hAnsi="仿宋" w:eastAsia="仿宋" w:cs="仿宋"/>
          <w:color w:val="auto"/>
          <w:szCs w:val="24"/>
          <w:highlight w:val="none"/>
        </w:rPr>
        <w:t>.</w:t>
      </w:r>
      <w:r>
        <w:rPr>
          <w:rFonts w:hint="eastAsia" w:ascii="仿宋" w:hAnsi="仿宋" w:eastAsia="仿宋" w:cs="仿宋"/>
          <w:color w:val="auto"/>
          <w:highlight w:val="none"/>
        </w:rPr>
        <w:t>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713FF80C">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9</w:t>
      </w:r>
      <w:r>
        <w:rPr>
          <w:rFonts w:hint="eastAsia" w:ascii="仿宋" w:hAnsi="仿宋" w:eastAsia="仿宋" w:cs="仿宋"/>
          <w:color w:val="auto"/>
          <w:szCs w:val="24"/>
          <w:highlight w:val="none"/>
        </w:rPr>
        <w:t>.质保期为</w:t>
      </w:r>
      <w:r>
        <w:rPr>
          <w:rFonts w:hint="eastAsia" w:ascii="仿宋" w:hAnsi="仿宋" w:eastAsia="仿宋" w:cs="仿宋"/>
          <w:color w:val="auto"/>
          <w:szCs w:val="24"/>
          <w:highlight w:val="none"/>
          <w:u w:val="single"/>
          <w:lang w:val="en-US" w:eastAsia="zh-CN"/>
        </w:rPr>
        <w:t>叁</w:t>
      </w:r>
      <w:r>
        <w:rPr>
          <w:rFonts w:hint="eastAsia" w:ascii="仿宋" w:hAnsi="仿宋" w:eastAsia="仿宋" w:cs="仿宋"/>
          <w:color w:val="auto"/>
          <w:szCs w:val="24"/>
          <w:highlight w:val="none"/>
        </w:rPr>
        <w:t>年，质保期低于生产厂家，按生产厂家质保期计算。保修期内免费保修，同一主要部件出现质量问题经过两次维修后仍无法正常使用，由乙方更换同型号、同规格的产品，服务响应时间不超过8小时，解决问题不超过24小时。</w:t>
      </w:r>
    </w:p>
    <w:p w14:paraId="27D11D09">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10</w:t>
      </w:r>
      <w:r>
        <w:rPr>
          <w:rFonts w:hint="eastAsia" w:ascii="仿宋" w:hAnsi="仿宋" w:eastAsia="仿宋" w:cs="仿宋"/>
          <w:color w:val="auto"/>
          <w:szCs w:val="24"/>
          <w:highlight w:val="none"/>
        </w:rPr>
        <w:t>.乙方不在约定期限内派人维修、更换，甲方可以委托他人修理、更换，由此产生的费用从保修金中双倍扣除，不足部分，乙方还应补足。</w:t>
      </w:r>
    </w:p>
    <w:p w14:paraId="03B49850">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11</w:t>
      </w:r>
      <w:r>
        <w:rPr>
          <w:rFonts w:hint="eastAsia" w:ascii="仿宋" w:hAnsi="仿宋" w:eastAsia="仿宋" w:cs="仿宋"/>
          <w:color w:val="auto"/>
          <w:szCs w:val="24"/>
          <w:highlight w:val="none"/>
        </w:rPr>
        <w:t>.乙方对其所售产品负责备品配件的供应,长期提供维修服务。</w:t>
      </w:r>
    </w:p>
    <w:p w14:paraId="46E92CC9">
      <w:pPr>
        <w:spacing w:line="360" w:lineRule="auto"/>
        <w:rPr>
          <w:rFonts w:hint="eastAsia" w:ascii="仿宋" w:hAnsi="仿宋" w:eastAsia="仿宋" w:cs="仿宋"/>
          <w:b/>
          <w:bCs/>
          <w:color w:val="auto"/>
          <w:szCs w:val="24"/>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四</w:t>
      </w:r>
      <w:r>
        <w:rPr>
          <w:rFonts w:hint="eastAsia" w:ascii="仿宋" w:hAnsi="仿宋" w:eastAsia="仿宋" w:cs="仿宋"/>
          <w:b/>
          <w:bCs/>
          <w:color w:val="auto"/>
          <w:highlight w:val="none"/>
        </w:rPr>
        <w:t>、</w:t>
      </w:r>
      <w:r>
        <w:rPr>
          <w:rFonts w:hint="eastAsia" w:ascii="仿宋" w:hAnsi="仿宋" w:eastAsia="仿宋" w:cs="仿宋"/>
          <w:b/>
          <w:bCs/>
          <w:color w:val="auto"/>
          <w:szCs w:val="24"/>
          <w:highlight w:val="none"/>
        </w:rPr>
        <w:t>验收</w:t>
      </w:r>
    </w:p>
    <w:p w14:paraId="01B340A5">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1.初验：货物到达交货地点后，由使用单位根据合同对货物（设备）的名称、品牌、规格、型号、产地、数量进行检查。初验合格填写项目移交单，双方签字盖章。</w:t>
      </w:r>
    </w:p>
    <w:p w14:paraId="39EE654E">
      <w:pPr>
        <w:spacing w:line="360" w:lineRule="auto"/>
        <w:ind w:firstLine="420" w:firstLineChars="200"/>
        <w:rPr>
          <w:rFonts w:hint="eastAsia" w:ascii="仿宋" w:hAnsi="仿宋" w:eastAsia="仿宋" w:cs="仿宋"/>
          <w:b/>
          <w:color w:val="auto"/>
          <w:szCs w:val="24"/>
          <w:highlight w:val="none"/>
        </w:rPr>
      </w:pPr>
      <w:r>
        <w:rPr>
          <w:rFonts w:hint="eastAsia" w:ascii="仿宋" w:hAnsi="仿宋" w:eastAsia="仿宋" w:cs="仿宋"/>
          <w:color w:val="auto"/>
          <w:szCs w:val="24"/>
          <w:highlight w:val="none"/>
        </w:rPr>
        <w:t>2.终验：所有货物(设备)安装、调试完毕，正常使用10个日历日后，由成交供应商向采购人提出终验书面申请，采购人确认后，组织成交供应商、有关专家及相关部门进行系统验收，并出具终验报告，验收及专家费用由成交供应商承担。验收合格后填写《政府采购项目验收单》。</w:t>
      </w:r>
    </w:p>
    <w:p w14:paraId="4F2A0544">
      <w:pPr>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十</w:t>
      </w:r>
      <w:r>
        <w:rPr>
          <w:rFonts w:hint="eastAsia" w:ascii="仿宋" w:hAnsi="仿宋" w:eastAsia="仿宋" w:cs="仿宋"/>
          <w:b/>
          <w:color w:val="auto"/>
          <w:szCs w:val="24"/>
          <w:highlight w:val="none"/>
          <w:lang w:val="en-US" w:eastAsia="zh-CN"/>
        </w:rPr>
        <w:t>五</w:t>
      </w:r>
      <w:r>
        <w:rPr>
          <w:rFonts w:hint="eastAsia" w:ascii="仿宋" w:hAnsi="仿宋" w:eastAsia="仿宋" w:cs="仿宋"/>
          <w:b/>
          <w:color w:val="auto"/>
          <w:szCs w:val="24"/>
          <w:highlight w:val="none"/>
        </w:rPr>
        <w:t>、保密</w:t>
      </w:r>
    </w:p>
    <w:p w14:paraId="15B91960">
      <w:pPr>
        <w:tabs>
          <w:tab w:val="left" w:pos="1080"/>
        </w:tabs>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对工作中了解到的采购人的技术、机密等进行严格保密，不得向他人泄漏。本合同的解除或终止不免除供应商应承担的保密义务。</w:t>
      </w:r>
    </w:p>
    <w:p w14:paraId="2BC71A95">
      <w:pPr>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十</w:t>
      </w:r>
      <w:r>
        <w:rPr>
          <w:rFonts w:hint="eastAsia" w:ascii="仿宋" w:hAnsi="仿宋" w:eastAsia="仿宋" w:cs="仿宋"/>
          <w:b/>
          <w:color w:val="auto"/>
          <w:szCs w:val="24"/>
          <w:highlight w:val="none"/>
          <w:lang w:val="en-US" w:eastAsia="zh-CN"/>
        </w:rPr>
        <w:t>六</w:t>
      </w:r>
      <w:r>
        <w:rPr>
          <w:rFonts w:hint="eastAsia" w:ascii="仿宋" w:hAnsi="仿宋" w:eastAsia="仿宋" w:cs="仿宋"/>
          <w:b/>
          <w:color w:val="auto"/>
          <w:szCs w:val="24"/>
          <w:highlight w:val="none"/>
        </w:rPr>
        <w:t>、知识产权</w:t>
      </w:r>
    </w:p>
    <w:p w14:paraId="6439C969">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供应商应对所供产品具有或已取得合法知识产权，供应商应保证所供产品及服务不会出现因第三方提出侵犯其专利权、商标权或其他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4656108E">
      <w:pPr>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十</w:t>
      </w:r>
      <w:r>
        <w:rPr>
          <w:rFonts w:hint="eastAsia" w:ascii="仿宋" w:hAnsi="仿宋" w:eastAsia="仿宋" w:cs="仿宋"/>
          <w:b/>
          <w:color w:val="auto"/>
          <w:szCs w:val="24"/>
          <w:highlight w:val="none"/>
          <w:lang w:val="en-US" w:eastAsia="zh-CN"/>
        </w:rPr>
        <w:t>七</w:t>
      </w:r>
      <w:r>
        <w:rPr>
          <w:rFonts w:hint="eastAsia" w:ascii="仿宋" w:hAnsi="仿宋" w:eastAsia="仿宋" w:cs="仿宋"/>
          <w:b/>
          <w:color w:val="auto"/>
          <w:szCs w:val="24"/>
          <w:highlight w:val="none"/>
        </w:rPr>
        <w:t>、合同争议的解决</w:t>
      </w:r>
    </w:p>
    <w:p w14:paraId="28D501D1">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合同执行中发生争议的，当事人双方应协商解决。协商达不成一致时，向西安仲裁委员会申请仲裁。</w:t>
      </w:r>
    </w:p>
    <w:p w14:paraId="01C9E5C7">
      <w:pPr>
        <w:spacing w:line="360" w:lineRule="auto"/>
        <w:jc w:val="left"/>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十</w:t>
      </w:r>
      <w:r>
        <w:rPr>
          <w:rFonts w:hint="eastAsia" w:ascii="仿宋" w:hAnsi="仿宋" w:eastAsia="仿宋" w:cs="仿宋"/>
          <w:b/>
          <w:bCs/>
          <w:color w:val="auto"/>
          <w:szCs w:val="24"/>
          <w:highlight w:val="none"/>
          <w:lang w:val="en-US" w:eastAsia="zh-CN"/>
        </w:rPr>
        <w:t>八</w:t>
      </w:r>
      <w:r>
        <w:rPr>
          <w:rFonts w:hint="eastAsia" w:ascii="仿宋" w:hAnsi="仿宋" w:eastAsia="仿宋" w:cs="仿宋"/>
          <w:b/>
          <w:bCs/>
          <w:color w:val="auto"/>
          <w:szCs w:val="24"/>
          <w:highlight w:val="none"/>
        </w:rPr>
        <w:t>、不可抗力情况下的免责约定</w:t>
      </w:r>
    </w:p>
    <w:p w14:paraId="22B27831">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双方约定不可抗力情况指：双方不可预见、不可避免、不可克服的客观情况，但不包括双方的违约或疏忽。这些事件包括但不限于：战争、严重火灾、洪水、台风、地震、疫情等。</w:t>
      </w:r>
    </w:p>
    <w:p w14:paraId="016EEDFA">
      <w:pPr>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十</w:t>
      </w:r>
      <w:r>
        <w:rPr>
          <w:rFonts w:hint="eastAsia" w:ascii="仿宋" w:hAnsi="仿宋" w:eastAsia="仿宋" w:cs="仿宋"/>
          <w:b/>
          <w:color w:val="auto"/>
          <w:szCs w:val="24"/>
          <w:highlight w:val="none"/>
          <w:lang w:val="en-US" w:eastAsia="zh-CN"/>
        </w:rPr>
        <w:t>九</w:t>
      </w:r>
      <w:r>
        <w:rPr>
          <w:rFonts w:hint="eastAsia" w:ascii="仿宋" w:hAnsi="仿宋" w:eastAsia="仿宋" w:cs="仿宋"/>
          <w:b/>
          <w:color w:val="auto"/>
          <w:szCs w:val="24"/>
          <w:highlight w:val="none"/>
        </w:rPr>
        <w:t>、违约责任</w:t>
      </w:r>
    </w:p>
    <w:p w14:paraId="07FF647E">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依据《中华人民共和国民法典》、《中华人民共和国政府采购法》、《中华人民共和国政府采购法实施条例》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w:t>
      </w:r>
    </w:p>
    <w:p w14:paraId="7CDB0096">
      <w:pPr>
        <w:spacing w:line="360" w:lineRule="auto"/>
        <w:rPr>
          <w:rFonts w:hint="eastAsia" w:ascii="仿宋" w:hAnsi="仿宋" w:eastAsia="仿宋" w:cs="仿宋"/>
          <w:color w:val="auto"/>
          <w:szCs w:val="24"/>
          <w:highlight w:val="none"/>
        </w:rPr>
      </w:pPr>
      <w:r>
        <w:rPr>
          <w:rFonts w:hint="eastAsia" w:ascii="仿宋" w:hAnsi="仿宋" w:eastAsia="仿宋" w:cs="仿宋"/>
          <w:b/>
          <w:color w:val="auto"/>
          <w:szCs w:val="24"/>
          <w:highlight w:val="none"/>
          <w:lang w:val="en-US" w:eastAsia="zh-CN"/>
        </w:rPr>
        <w:t>二</w:t>
      </w:r>
      <w:r>
        <w:rPr>
          <w:rFonts w:hint="eastAsia" w:ascii="仿宋" w:hAnsi="仿宋" w:eastAsia="仿宋" w:cs="仿宋"/>
          <w:b/>
          <w:color w:val="auto"/>
          <w:szCs w:val="24"/>
          <w:highlight w:val="none"/>
        </w:rPr>
        <w:t>十、其他（</w:t>
      </w:r>
      <w:r>
        <w:rPr>
          <w:rFonts w:hint="eastAsia" w:ascii="仿宋" w:hAnsi="仿宋" w:eastAsia="仿宋" w:cs="仿宋"/>
          <w:color w:val="auto"/>
          <w:szCs w:val="24"/>
          <w:highlight w:val="none"/>
        </w:rPr>
        <w:t>在合同中具体明确）</w:t>
      </w:r>
    </w:p>
    <w:p w14:paraId="5A3F96C9">
      <w:pPr>
        <w:spacing w:line="360" w:lineRule="auto"/>
        <w:rPr>
          <w:rFonts w:hint="eastAsia" w:ascii="仿宋" w:hAnsi="仿宋" w:eastAsia="仿宋" w:cs="仿宋"/>
          <w:b/>
          <w:color w:val="auto"/>
          <w:highlight w:val="none"/>
        </w:rPr>
      </w:pPr>
      <w:r>
        <w:rPr>
          <w:rFonts w:hint="eastAsia" w:ascii="仿宋" w:hAnsi="仿宋" w:eastAsia="仿宋" w:cs="仿宋"/>
          <w:b/>
          <w:color w:val="auto"/>
          <w:highlight w:val="none"/>
        </w:rPr>
        <w:t>二十</w:t>
      </w:r>
      <w:r>
        <w:rPr>
          <w:rFonts w:hint="eastAsia" w:ascii="仿宋" w:hAnsi="仿宋" w:eastAsia="仿宋" w:cs="仿宋"/>
          <w:b/>
          <w:color w:val="auto"/>
          <w:highlight w:val="none"/>
          <w:lang w:val="en-US" w:eastAsia="zh-CN"/>
        </w:rPr>
        <w:t>一</w:t>
      </w:r>
      <w:r>
        <w:rPr>
          <w:rFonts w:hint="eastAsia" w:ascii="仿宋" w:hAnsi="仿宋" w:eastAsia="仿宋" w:cs="仿宋"/>
          <w:b/>
          <w:color w:val="auto"/>
          <w:highlight w:val="none"/>
        </w:rPr>
        <w:t>、监督和管理</w:t>
      </w:r>
    </w:p>
    <w:p w14:paraId="73ABB96A">
      <w:pPr>
        <w:spacing w:line="360" w:lineRule="auto"/>
        <w:ind w:firstLine="420" w:firstLineChars="200"/>
        <w:rPr>
          <w:rFonts w:hint="eastAsia" w:ascii="仿宋" w:hAnsi="仿宋" w:eastAsia="仿宋" w:cs="仿宋"/>
          <w:bCs/>
          <w:color w:val="auto"/>
          <w:highlight w:val="none"/>
        </w:rPr>
      </w:pPr>
      <w:r>
        <w:rPr>
          <w:rFonts w:hint="eastAsia" w:ascii="仿宋" w:hAnsi="仿宋" w:eastAsia="仿宋" w:cs="仿宋"/>
          <w:bCs/>
          <w:color w:val="auto"/>
          <w:highlight w:val="none"/>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2FFB6CB6">
      <w:pPr>
        <w:spacing w:line="360" w:lineRule="auto"/>
        <w:ind w:firstLine="420" w:firstLineChars="200"/>
        <w:rPr>
          <w:rFonts w:hint="eastAsia" w:ascii="仿宋" w:hAnsi="仿宋" w:eastAsia="仿宋" w:cs="仿宋"/>
          <w:bCs/>
          <w:color w:val="auto"/>
          <w:highlight w:val="none"/>
        </w:rPr>
      </w:pPr>
      <w:r>
        <w:rPr>
          <w:rFonts w:hint="eastAsia" w:ascii="仿宋" w:hAnsi="仿宋" w:eastAsia="仿宋" w:cs="仿宋"/>
          <w:bCs/>
          <w:color w:val="auto"/>
          <w:highlight w:val="none"/>
        </w:rPr>
        <w:t>2、</w:t>
      </w:r>
      <w:r>
        <w:rPr>
          <w:rFonts w:hint="eastAsia" w:ascii="仿宋" w:hAnsi="仿宋" w:eastAsia="仿宋" w:cs="仿宋"/>
          <w:color w:val="auto"/>
          <w:highlight w:val="none"/>
        </w:rPr>
        <w:t>采购人供应商</w:t>
      </w:r>
      <w:r>
        <w:rPr>
          <w:rFonts w:hint="eastAsia" w:ascii="仿宋" w:hAnsi="仿宋" w:eastAsia="仿宋" w:cs="仿宋"/>
          <w:bCs/>
          <w:color w:val="auto"/>
          <w:highlight w:val="none"/>
        </w:rPr>
        <w:t>双方均应自觉配合有关监督管理部门对合同履行情况的监督检查，如实反映情况，提供有关资料：否则，将对有关单位、当事人按照有关规定予以处罚。</w:t>
      </w:r>
    </w:p>
    <w:p w14:paraId="676AE347">
      <w:pPr>
        <w:spacing w:line="360" w:lineRule="auto"/>
        <w:rPr>
          <w:rFonts w:hint="eastAsia" w:ascii="仿宋" w:hAnsi="仿宋" w:eastAsia="仿宋" w:cs="仿宋"/>
          <w:b/>
          <w:color w:val="auto"/>
          <w:highlight w:val="none"/>
        </w:rPr>
      </w:pPr>
      <w:r>
        <w:rPr>
          <w:rFonts w:hint="eastAsia" w:ascii="仿宋" w:hAnsi="仿宋" w:eastAsia="仿宋" w:cs="仿宋"/>
          <w:b/>
          <w:color w:val="auto"/>
          <w:highlight w:val="none"/>
        </w:rPr>
        <w:t>二十</w:t>
      </w:r>
      <w:r>
        <w:rPr>
          <w:rFonts w:hint="eastAsia" w:ascii="仿宋" w:hAnsi="仿宋" w:eastAsia="仿宋" w:cs="仿宋"/>
          <w:b/>
          <w:color w:val="auto"/>
          <w:highlight w:val="none"/>
          <w:lang w:val="en-US" w:eastAsia="zh-CN"/>
        </w:rPr>
        <w:t>二</w:t>
      </w:r>
      <w:r>
        <w:rPr>
          <w:rFonts w:hint="eastAsia" w:ascii="仿宋" w:hAnsi="仿宋" w:eastAsia="仿宋" w:cs="仿宋"/>
          <w:b/>
          <w:color w:val="auto"/>
          <w:highlight w:val="none"/>
        </w:rPr>
        <w:t>、合同订立</w:t>
      </w:r>
    </w:p>
    <w:p w14:paraId="3D914D2F">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1.订立时间：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14326F1C">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2.订立地点：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7D42141D">
      <w:pPr>
        <w:tabs>
          <w:tab w:val="left" w:pos="980"/>
        </w:tabs>
        <w:kinsoku w:val="0"/>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3.本合同一式</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份，具有同等法律效力，双方各执</w:t>
      </w:r>
      <w:r>
        <w:rPr>
          <w:rFonts w:hint="eastAsia" w:ascii="仿宋" w:hAnsi="仿宋" w:eastAsia="仿宋" w:cs="仿宋"/>
          <w:color w:val="auto"/>
          <w:highlight w:val="none"/>
          <w:u w:val="single"/>
        </w:rPr>
        <w:t>贰</w:t>
      </w:r>
      <w:r>
        <w:rPr>
          <w:rFonts w:hint="eastAsia" w:ascii="仿宋" w:hAnsi="仿宋" w:eastAsia="仿宋" w:cs="仿宋"/>
          <w:color w:val="auto"/>
          <w:highlight w:val="none"/>
        </w:rPr>
        <w:t xml:space="preserve">份采购代理机构存档 </w:t>
      </w:r>
      <w:r>
        <w:rPr>
          <w:rFonts w:hint="eastAsia" w:ascii="仿宋" w:hAnsi="仿宋" w:eastAsia="仿宋" w:cs="仿宋"/>
          <w:color w:val="auto"/>
          <w:highlight w:val="none"/>
          <w:u w:val="single"/>
        </w:rPr>
        <w:t xml:space="preserve">壹 </w:t>
      </w:r>
      <w:r>
        <w:rPr>
          <w:rFonts w:hint="eastAsia" w:ascii="仿宋" w:hAnsi="仿宋" w:eastAsia="仿宋" w:cs="仿宋"/>
          <w:color w:val="auto"/>
          <w:highlight w:val="none"/>
        </w:rPr>
        <w:t>份。各方签字盖章后生效，合同执行完毕自动失效。（合同的服务承诺则长期有效）。</w:t>
      </w:r>
    </w:p>
    <w:p w14:paraId="69D09A4F">
      <w:pPr>
        <w:adjustRightInd w:val="0"/>
        <w:snapToGrid w:val="0"/>
        <w:spacing w:line="360" w:lineRule="auto"/>
        <w:rPr>
          <w:rFonts w:hint="eastAsia" w:ascii="仿宋" w:hAnsi="仿宋" w:eastAsia="仿宋" w:cs="仿宋"/>
          <w:color w:val="auto"/>
          <w:highlight w:val="none"/>
        </w:rPr>
        <w:sectPr>
          <w:headerReference r:id="rId3" w:type="default"/>
          <w:footerReference r:id="rId4" w:type="default"/>
          <w:pgSz w:w="11906" w:h="16838"/>
          <w:pgMar w:top="1418" w:right="1134" w:bottom="1418" w:left="1418" w:header="1134" w:footer="992" w:gutter="0"/>
          <w:cols w:space="720" w:num="1"/>
          <w:docGrid w:type="lines" w:linePitch="312" w:charSpace="0"/>
        </w:sectPr>
      </w:pPr>
    </w:p>
    <w:p w14:paraId="68CF7EEB">
      <w:pPr>
        <w:pStyle w:val="2"/>
        <w:rPr>
          <w:rFonts w:hint="eastAsia" w:ascii="仿宋" w:hAnsi="仿宋" w:eastAsia="仿宋" w:cs="仿宋"/>
          <w:color w:val="auto"/>
          <w:highlight w:val="none"/>
        </w:rPr>
      </w:pPr>
    </w:p>
    <w:p w14:paraId="0701D9CA">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采购人：</w:t>
      </w:r>
      <w:r>
        <w:rPr>
          <w:rFonts w:hint="eastAsia" w:ascii="仿宋" w:hAnsi="仿宋" w:eastAsia="仿宋" w:cs="仿宋"/>
          <w:color w:val="auto"/>
          <w:highlight w:val="none"/>
          <w:u w:val="single"/>
        </w:rPr>
        <w:t xml:space="preserve">   （盖章）      </w:t>
      </w:r>
      <w:r>
        <w:rPr>
          <w:rFonts w:hint="eastAsia" w:ascii="仿宋" w:hAnsi="仿宋" w:eastAsia="仿宋" w:cs="仿宋"/>
          <w:color w:val="auto"/>
          <w:highlight w:val="none"/>
        </w:rPr>
        <w:t xml:space="preserve">            </w:t>
      </w:r>
      <w:r>
        <w:rPr>
          <w:rFonts w:hint="eastAsia" w:ascii="仿宋" w:hAnsi="仿宋" w:eastAsia="仿宋" w:cs="仿宋"/>
          <w:color w:val="auto"/>
          <w:highlight w:val="none"/>
          <w:lang w:val="en-US" w:eastAsia="zh-CN"/>
        </w:rPr>
        <w:t>供应商</w:t>
      </w:r>
      <w:r>
        <w:rPr>
          <w:rFonts w:hint="eastAsia" w:ascii="仿宋" w:hAnsi="仿宋" w:eastAsia="仿宋" w:cs="仿宋"/>
          <w:color w:val="auto"/>
          <w:highlight w:val="none"/>
        </w:rPr>
        <w:t>：</w:t>
      </w:r>
      <w:r>
        <w:rPr>
          <w:rFonts w:hint="eastAsia" w:ascii="仿宋" w:hAnsi="仿宋" w:eastAsia="仿宋" w:cs="仿宋"/>
          <w:color w:val="auto"/>
          <w:highlight w:val="none"/>
          <w:u w:val="single"/>
        </w:rPr>
        <w:t xml:space="preserve">   （盖章）         </w:t>
      </w:r>
    </w:p>
    <w:p w14:paraId="66F4A965">
      <w:pPr>
        <w:adjustRightInd w:val="0"/>
        <w:snapToGrid w:val="0"/>
        <w:spacing w:line="360" w:lineRule="auto"/>
        <w:ind w:firstLine="415" w:firstLineChars="198"/>
        <w:rPr>
          <w:rFonts w:hint="eastAsia" w:ascii="仿宋" w:hAnsi="仿宋" w:eastAsia="仿宋" w:cs="仿宋"/>
          <w:color w:val="auto"/>
          <w:highlight w:val="none"/>
          <w:u w:val="single"/>
        </w:rPr>
      </w:pPr>
      <w:r>
        <w:rPr>
          <w:rFonts w:hint="eastAsia" w:ascii="仿宋" w:hAnsi="仿宋" w:eastAsia="仿宋" w:cs="仿宋"/>
          <w:color w:val="auto"/>
          <w:highlight w:val="none"/>
        </w:rPr>
        <w:t xml:space="preserve">地 址：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地  址：</w:t>
      </w:r>
      <w:r>
        <w:rPr>
          <w:rFonts w:hint="eastAsia" w:ascii="仿宋" w:hAnsi="仿宋" w:eastAsia="仿宋" w:cs="仿宋"/>
          <w:color w:val="auto"/>
          <w:highlight w:val="none"/>
          <w:u w:val="single"/>
        </w:rPr>
        <w:t xml:space="preserve">                    </w:t>
      </w:r>
    </w:p>
    <w:p w14:paraId="65DEA8F4">
      <w:pPr>
        <w:adjustRightInd w:val="0"/>
        <w:snapToGrid w:val="0"/>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邮政编码：</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邮政编码：</w:t>
      </w:r>
      <w:r>
        <w:rPr>
          <w:rFonts w:hint="eastAsia" w:ascii="仿宋" w:hAnsi="仿宋" w:eastAsia="仿宋" w:cs="仿宋"/>
          <w:color w:val="auto"/>
          <w:highlight w:val="none"/>
          <w:u w:val="single"/>
        </w:rPr>
        <w:t xml:space="preserve">                   </w:t>
      </w:r>
    </w:p>
    <w:p w14:paraId="6D940B2A">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 xml:space="preserve">法定代表人或其授权                   法定代表人或其授权 </w:t>
      </w:r>
    </w:p>
    <w:p w14:paraId="2DF95FD4">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的代理人：</w:t>
      </w:r>
      <w:r>
        <w:rPr>
          <w:rFonts w:hint="eastAsia" w:ascii="仿宋" w:hAnsi="仿宋" w:eastAsia="仿宋" w:cs="仿宋"/>
          <w:color w:val="auto"/>
          <w:highlight w:val="none"/>
          <w:u w:val="single"/>
        </w:rPr>
        <w:t xml:space="preserve">（签字）      </w:t>
      </w:r>
      <w:r>
        <w:rPr>
          <w:rFonts w:hint="eastAsia" w:ascii="仿宋" w:hAnsi="仿宋" w:eastAsia="仿宋" w:cs="仿宋"/>
          <w:color w:val="auto"/>
          <w:highlight w:val="none"/>
        </w:rPr>
        <w:t xml:space="preserve">             的代理人：</w:t>
      </w:r>
      <w:r>
        <w:rPr>
          <w:rFonts w:hint="eastAsia" w:ascii="仿宋" w:hAnsi="仿宋" w:eastAsia="仿宋" w:cs="仿宋"/>
          <w:color w:val="auto"/>
          <w:highlight w:val="none"/>
          <w:u w:val="single"/>
        </w:rPr>
        <w:t xml:space="preserve">（签字）           </w:t>
      </w:r>
    </w:p>
    <w:p w14:paraId="2E93B483">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开户银行：</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开户银行：</w:t>
      </w:r>
      <w:r>
        <w:rPr>
          <w:rFonts w:hint="eastAsia" w:ascii="仿宋" w:hAnsi="仿宋" w:eastAsia="仿宋" w:cs="仿宋"/>
          <w:color w:val="auto"/>
          <w:highlight w:val="none"/>
          <w:u w:val="single"/>
        </w:rPr>
        <w:t xml:space="preserve">                   </w:t>
      </w:r>
    </w:p>
    <w:p w14:paraId="66B2FC9F">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账号：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账号：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w:t>
      </w:r>
    </w:p>
    <w:p w14:paraId="2214E8A4">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电话：</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电话：</w:t>
      </w:r>
      <w:r>
        <w:rPr>
          <w:rFonts w:hint="eastAsia" w:ascii="仿宋" w:hAnsi="仿宋" w:eastAsia="仿宋" w:cs="仿宋"/>
          <w:color w:val="auto"/>
          <w:highlight w:val="none"/>
          <w:u w:val="single"/>
        </w:rPr>
        <w:t xml:space="preserve">                       </w:t>
      </w:r>
    </w:p>
    <w:p w14:paraId="7635827E">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传真：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传真：</w:t>
      </w:r>
      <w:r>
        <w:rPr>
          <w:rFonts w:hint="eastAsia" w:ascii="仿宋" w:hAnsi="仿宋" w:eastAsia="仿宋" w:cs="仿宋"/>
          <w:color w:val="auto"/>
          <w:highlight w:val="none"/>
          <w:u w:val="single"/>
        </w:rPr>
        <w:t xml:space="preserve">                       </w:t>
      </w:r>
    </w:p>
    <w:p w14:paraId="0C100CE3">
      <w:pPr>
        <w:ind w:firstLine="420" w:firstLineChars="200"/>
        <w:rPr>
          <w:rFonts w:hint="eastAsia" w:ascii="仿宋" w:hAnsi="仿宋" w:eastAsia="仿宋" w:cs="仿宋"/>
          <w:color w:val="auto"/>
          <w:highlight w:val="none"/>
          <w:lang w:val="en-US" w:eastAsia="zh-CN"/>
        </w:rPr>
      </w:pPr>
      <w:r>
        <w:rPr>
          <w:rFonts w:hint="eastAsia" w:ascii="仿宋" w:hAnsi="仿宋" w:eastAsia="仿宋" w:cs="仿宋"/>
          <w:color w:val="auto"/>
          <w:highlight w:val="none"/>
        </w:rPr>
        <w:t>电子邮箱：</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电子邮箱：</w:t>
      </w:r>
      <w:r>
        <w:rPr>
          <w:rFonts w:hint="eastAsia" w:ascii="仿宋" w:hAnsi="仿宋" w:eastAsia="仿宋" w:cs="仿宋"/>
          <w:color w:val="auto"/>
          <w:highlight w:val="none"/>
          <w:u w:val="single"/>
        </w:rPr>
        <w:t xml:space="preserve">                   </w:t>
      </w:r>
    </w:p>
    <w:p w14:paraId="594C90C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061E1D">
    <w:pPr>
      <w:tabs>
        <w:tab w:val="left" w:pos="5646"/>
      </w:tabs>
      <w:rPr>
        <w:rFonts w:ascii="楷体" w:hAnsi="楷体" w:eastAsia="楷体" w:cs="楷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840115">
                          <w:pPr>
                            <w:pStyle w:val="6"/>
                            <w:rPr>
                              <w:rFonts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 PAGE  \* MERGEFORMAT </w:instrText>
                          </w:r>
                          <w:r>
                            <w:rPr>
                              <w:rFonts w:asciiTheme="minorEastAsia" w:hAnsiTheme="minorEastAsia" w:eastAsiaTheme="minorEastAsia"/>
                            </w:rPr>
                            <w:fldChar w:fldCharType="separate"/>
                          </w:r>
                          <w:r>
                            <w:rPr>
                              <w:rFonts w:asciiTheme="minorEastAsia" w:hAnsiTheme="minorEastAsia" w:eastAsiaTheme="minorEastAsia"/>
                            </w:rPr>
                            <w:t>81</w:t>
                          </w:r>
                          <w:r>
                            <w:rPr>
                              <w:rFonts w:asciiTheme="minorEastAsia" w:hAnsiTheme="minorEastAsia" w:eastAsiaTheme="minor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37840115">
                    <w:pPr>
                      <w:pStyle w:val="6"/>
                      <w:rPr>
                        <w:rFonts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 PAGE  \* MERGEFORMAT </w:instrText>
                    </w:r>
                    <w:r>
                      <w:rPr>
                        <w:rFonts w:asciiTheme="minorEastAsia" w:hAnsiTheme="minorEastAsia" w:eastAsiaTheme="minorEastAsia"/>
                      </w:rPr>
                      <w:fldChar w:fldCharType="separate"/>
                    </w:r>
                    <w:r>
                      <w:rPr>
                        <w:rFonts w:asciiTheme="minorEastAsia" w:hAnsiTheme="minorEastAsia" w:eastAsiaTheme="minorEastAsia"/>
                      </w:rPr>
                      <w:t>81</w:t>
                    </w:r>
                    <w:r>
                      <w:rPr>
                        <w:rFonts w:asciiTheme="minorEastAsia" w:hAnsiTheme="minorEastAsia" w:eastAsiaTheme="minor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90D707">
    <w:pPr>
      <w:jc w:val="left"/>
      <w:rPr>
        <w:rFonts w:ascii="楷体" w:hAnsi="楷体" w:eastAsia="楷体" w:cs="楷体"/>
        <w:kern w:val="2"/>
        <w:sz w:val="18"/>
        <w:szCs w:val="18"/>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8E3007"/>
    <w:rsid w:val="698E30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2025-11-05T08:29:00Z</dcterms:created>
  <dc:creator>苍白假面</dc:creator>
  <cp:lastModifiedBy>苍白假面</cp:lastModifiedBy>
  <dcterms:modified xsi:type="dcterms:W3CDTF">2025-11-05T08:30:09Z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A7980062CACB4F078490A7F7FC95D91D_11</vt:lpwstr>
  </property>
  <property fmtid="{D5CDD505-2E9C-101B-9397-08002B2CF9AE}" pid="4" name="KSOTemplateDocerSaveRecord">
    <vt:lpwstr>eyJoZGlkIjoiY2U1ZTlkNThkYmUxMjkwM2M5Y2E1YWM0NWQ1ZjUwMDUiLCJ1c2VySWQiOiIyNzI4NDY5MDUifQ==</vt:lpwstr>
  </property>
</Properties>
</file>