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版本号：SXBH2025-ZCCS-037F20251215002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自强西路消防训练塔新建项目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SXBH2025-ZCCS-037F</w:t>
      </w:r>
      <w:r>
        <w:br/>
      </w:r>
      <w:r>
        <w:br/>
      </w:r>
      <w:r>
        <w:br/>
      </w:r>
    </w:p>
    <w:p>
      <w:pPr>
        <w:pStyle w:val="null3"/>
        <w:jc w:val="center"/>
        <w:outlineLvl w:val="2"/>
      </w:pPr>
      <w:r>
        <w:rPr>
          <w:rFonts w:ascii="仿宋_GB2312" w:hAnsi="仿宋_GB2312" w:cs="仿宋_GB2312" w:eastAsia="仿宋_GB2312"/>
          <w:sz w:val="28"/>
          <w:b/>
        </w:rPr>
        <w:t>西安市莲湖区应急管理局</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西安市莲湖区应急管理局</w:t>
      </w:r>
      <w:r>
        <w:rPr>
          <w:rFonts w:ascii="仿宋_GB2312" w:hAnsi="仿宋_GB2312" w:cs="仿宋_GB2312" w:eastAsia="仿宋_GB2312"/>
        </w:rPr>
        <w:t>委托，拟对</w:t>
      </w:r>
      <w:r>
        <w:rPr>
          <w:rFonts w:ascii="仿宋_GB2312" w:hAnsi="仿宋_GB2312" w:cs="仿宋_GB2312" w:eastAsia="仿宋_GB2312"/>
        </w:rPr>
        <w:t>自强西路消防训练塔新建项目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SXBH2025-ZCCS-037F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自强西路消防训练塔新建项目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西安市消防救援支队自强西路消防救援站训练塔工程。总建筑面积192.44㎡。地上七层，建筑高度23.95M。建筑架构形式：七层框架架构；建筑结构类别：二级；合理使用年限：50年；抗震设防烈度：8度；耐火等级：二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采购包1（自强西路消防训练塔新建项目）：属于专门面向中小企业采购。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建筑工程施工总承包三级及以上资质，同时具备有效的安全生产许可证；（外省企业需在“陕西省住房和城乡建设厅（https://js.shaanxi.gov.cn/）”可查询，附查询截图，截图应包括网站中“外省进陕施工企业的基本信息和进陕人员信息”）；</w:t>
      </w:r>
    </w:p>
    <w:p>
      <w:pPr>
        <w:pStyle w:val="null3"/>
      </w:pPr>
      <w:r>
        <w:rPr>
          <w:rFonts w:ascii="仿宋_GB2312" w:hAnsi="仿宋_GB2312" w:cs="仿宋_GB2312" w:eastAsia="仿宋_GB2312"/>
        </w:rPr>
        <w:t>2、拟派项目负责人资质及专业要求：须具备在本单位注册的建筑工程专业贰级（含贰级）以上注册建造师资质，并具备有效的安全生产考核合格证书B证，且无在建工程（提供承诺函）；</w:t>
      </w:r>
    </w:p>
    <w:p>
      <w:pPr>
        <w:pStyle w:val="null3"/>
      </w:pPr>
      <w:r>
        <w:rPr>
          <w:rFonts w:ascii="仿宋_GB2312" w:hAnsi="仿宋_GB2312" w:cs="仿宋_GB2312" w:eastAsia="仿宋_GB2312"/>
        </w:rPr>
        <w:t>3、信息发布平台：供应商及拟派项目经理须在陕西省建筑市场监管与诚信信息发布平台可查询且无不良记录</w:t>
      </w:r>
    </w:p>
    <w:p>
      <w:pPr>
        <w:pStyle w:val="null3"/>
      </w:pPr>
      <w:r>
        <w:rPr>
          <w:rFonts w:ascii="仿宋_GB2312" w:hAnsi="仿宋_GB2312" w:cs="仿宋_GB2312" w:eastAsia="仿宋_GB2312"/>
        </w:rPr>
        <w:t>4、法定代表人授权书：法定代表人直接参加投标的，须出具法定代表人身份证明。授权代表参加投标的，须出具法定代表人授权书并附法定代表人身份证明；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5、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 可依据住建部门发布的《建设工程资质》中的“承包工程范围”进行确定。 根据《政府采购促进中小企业发展管理办法》（财库〔2020〕46号）的规定,不得以企业注册资本、资、利润、纳税额等规模条件和财务指标作为供应商的资格要求或者评审因素，不得在企业股权结构、经营年限等方面对中小企业实行差别待遇或者歧视待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17602968926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徐言伟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17691080059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代理服务费收费标准：中标(成交)服务费参照国家计委计价格〔2002〕1980号文和国家发改委发改办价格〔2003〕857号文的标准收取。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西安市莲湖区应急管理局</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联系电话：18066519109</w:t>
      </w:r>
    </w:p>
    <w:p>
      <w:pPr>
        <w:pStyle w:val="null3"/>
      </w:pPr>
      <w:r>
        <w:rPr>
          <w:rFonts w:ascii="仿宋_GB2312" w:hAnsi="仿宋_GB2312" w:cs="仿宋_GB2312" w:eastAsia="仿宋_GB2312"/>
        </w:rPr>
        <w:t>地址：西安市高新区唐延路35号旺座现代城C座2604室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1,365,545.35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消防救援站训练塔新建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标的名称：消防救援站训练塔新建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本工程西安市消防救援支队自强西路消防救援站训练塔工程。总建筑面积192.44㎡。地上七层，建筑高度23.95M。建筑架构形式：七层框架架构；建筑结构类别：二级；合理使用年限：50年；抗震设防烈度：8度；耐火等级：二级。</w:t>
            </w:r>
            <w:r>
              <w:br/>
            </w:r>
            <w:r>
              <w:rPr>
                <w:rFonts w:ascii="仿宋_GB2312" w:hAnsi="仿宋_GB2312" w:cs="仿宋_GB2312" w:eastAsia="仿宋_GB2312"/>
              </w:rPr>
              <w:t xml:space="preserve"> 二、工程内容和施工地点、计划工期、缺陷责任期、质量保修期</w:t>
            </w:r>
            <w:r>
              <w:br/>
            </w:r>
            <w:r>
              <w:rPr>
                <w:rFonts w:ascii="仿宋_GB2312" w:hAnsi="仿宋_GB2312" w:cs="仿宋_GB2312" w:eastAsia="仿宋_GB2312"/>
              </w:rPr>
              <w:t xml:space="preserve"> （一）工程内容：本项目主要对自强西路消防救援站内训练塔进行建设，包含拆除工程、土石方工程、训练塔框架建设、屋面防水工程、训练攀爬设施建设、电气照明系统等。</w:t>
            </w:r>
            <w:r>
              <w:br/>
            </w:r>
            <w:r>
              <w:rPr>
                <w:rFonts w:ascii="仿宋_GB2312" w:hAnsi="仿宋_GB2312" w:cs="仿宋_GB2312" w:eastAsia="仿宋_GB2312"/>
              </w:rPr>
              <w:t xml:space="preserve"> （二）工程地点：西安市莲湖区自强西路。</w:t>
            </w:r>
            <w:r>
              <w:br/>
            </w:r>
            <w:r>
              <w:rPr>
                <w:rFonts w:ascii="仿宋_GB2312" w:hAnsi="仿宋_GB2312" w:cs="仿宋_GB2312" w:eastAsia="仿宋_GB2312"/>
              </w:rPr>
              <w:t xml:space="preserve"> （三）计划工期：自进场之日起30个日历日内竣工。</w:t>
            </w:r>
            <w:r>
              <w:br/>
            </w:r>
            <w:r>
              <w:rPr>
                <w:rFonts w:ascii="仿宋_GB2312" w:hAnsi="仿宋_GB2312" w:cs="仿宋_GB2312" w:eastAsia="仿宋_GB2312"/>
              </w:rPr>
              <w:t xml:space="preserve"> （四）缺陷责任期：1年。</w:t>
            </w:r>
            <w:r>
              <w:br/>
            </w:r>
            <w:r>
              <w:rPr>
                <w:rFonts w:ascii="仿宋_GB2312" w:hAnsi="仿宋_GB2312" w:cs="仿宋_GB2312" w:eastAsia="仿宋_GB2312"/>
              </w:rPr>
              <w:t xml:space="preserve"> （五）质量保修期（与质保金的退还无关）：1年。</w:t>
            </w:r>
            <w:r>
              <w:br/>
            </w:r>
            <w:r>
              <w:rPr>
                <w:rFonts w:ascii="仿宋_GB2312" w:hAnsi="仿宋_GB2312" w:cs="仿宋_GB2312" w:eastAsia="仿宋_GB2312"/>
              </w:rPr>
              <w:t xml:space="preserve"> 三、工程量清单和计价依据</w:t>
            </w:r>
            <w:r>
              <w:br/>
            </w:r>
            <w:r>
              <w:rPr>
                <w:rFonts w:ascii="仿宋_GB2312" w:hAnsi="仿宋_GB2312" w:cs="仿宋_GB2312" w:eastAsia="仿宋_GB2312"/>
              </w:rPr>
              <w:t xml:space="preserve"> （一）计价依据：</w:t>
            </w:r>
            <w:r>
              <w:br/>
            </w:r>
            <w:r>
              <w:rPr>
                <w:rFonts w:ascii="仿宋_GB2312" w:hAnsi="仿宋_GB2312" w:cs="仿宋_GB2312" w:eastAsia="仿宋_GB2312"/>
              </w:rPr>
              <w:t xml:space="preserve"> （1）《陕西省建设工程造价管理办法》（省政府令第 133 号）； </w:t>
            </w:r>
            <w:r>
              <w:br/>
            </w:r>
            <w:r>
              <w:rPr>
                <w:rFonts w:ascii="仿宋_GB2312" w:hAnsi="仿宋_GB2312" w:cs="仿宋_GB2312" w:eastAsia="仿宋_GB2312"/>
              </w:rPr>
              <w:t xml:space="preserve"> （2）《建筑安装工程费用项目组成》(建标(2013)44 号)； </w:t>
            </w:r>
            <w:r>
              <w:br/>
            </w:r>
            <w:r>
              <w:rPr>
                <w:rFonts w:ascii="仿宋_GB2312" w:hAnsi="仿宋_GB2312" w:cs="仿宋_GB2312" w:eastAsia="仿宋_GB2312"/>
              </w:rPr>
              <w:t xml:space="preserve"> （3）《陕西省建设工程费用规则》(2025)； </w:t>
            </w:r>
            <w:r>
              <w:br/>
            </w:r>
            <w:r>
              <w:rPr>
                <w:rFonts w:ascii="仿宋_GB2312" w:hAnsi="仿宋_GB2312" w:cs="仿宋_GB2312" w:eastAsia="仿宋_GB2312"/>
              </w:rPr>
              <w:t xml:space="preserve"> （4）陕西省《建设工程工程量清单计价标准》DB 61/T5126-2025； </w:t>
            </w:r>
            <w:r>
              <w:br/>
            </w:r>
            <w:r>
              <w:rPr>
                <w:rFonts w:ascii="仿宋_GB2312" w:hAnsi="仿宋_GB2312" w:cs="仿宋_GB2312" w:eastAsia="仿宋_GB2312"/>
              </w:rPr>
              <w:t xml:space="preserve"> （5）《陕西省房屋建筑与装饰工程消耗量定额》(2025)、《陕西省通用安装工程消耗量定额》(2025)、《陕西省建设工程施工机械台班费用定额(2025)》、《陕西省建设工程施工仪器仪表台班费用定额(2025)》、《陕西省房屋建筑与装饰工程基价表》(2025)、《陕西省通用安装工程基价表》(2025)、《陕西省通用安装工程消耗量定额》(2025)； </w:t>
            </w:r>
            <w:r>
              <w:br/>
            </w:r>
            <w:r>
              <w:rPr>
                <w:rFonts w:ascii="仿宋_GB2312" w:hAnsi="仿宋_GB2312" w:cs="仿宋_GB2312" w:eastAsia="仿宋_GB2312"/>
              </w:rPr>
              <w:t xml:space="preserve"> （二）工程量清单：</w:t>
            </w:r>
            <w:r>
              <w:br/>
            </w:r>
            <w:r>
              <w:rPr>
                <w:rFonts w:ascii="仿宋_GB2312" w:hAnsi="仿宋_GB2312" w:cs="仿宋_GB2312" w:eastAsia="仿宋_GB2312"/>
              </w:rPr>
              <w:t xml:space="preserve"> 见附件。</w:t>
            </w:r>
            <w:r>
              <w:br/>
            </w:r>
            <w:r>
              <w:rPr>
                <w:rFonts w:ascii="仿宋_GB2312" w:hAnsi="仿宋_GB2312" w:cs="仿宋_GB2312" w:eastAsia="仿宋_GB2312"/>
              </w:rPr>
              <w:t xml:space="preserve"> 四、施工要求</w:t>
            </w:r>
            <w:r>
              <w:br/>
            </w:r>
            <w:r>
              <w:rPr>
                <w:rFonts w:ascii="仿宋_GB2312" w:hAnsi="仿宋_GB2312" w:cs="仿宋_GB2312" w:eastAsia="仿宋_GB2312"/>
              </w:rPr>
              <w:t xml:space="preserve"> （一）供应商应遵守行业有关质量、安全法规和标准，严格按照施工图纸、施工技术规范和操作规程组织施工，并根据承担的工程任务以及所处的施工环境，制定相应的质量保证措施和施工安全措施，并责任到人。</w:t>
            </w:r>
            <w:r>
              <w:br/>
            </w:r>
            <w:r>
              <w:rPr>
                <w:rFonts w:ascii="仿宋_GB2312" w:hAnsi="仿宋_GB2312" w:cs="仿宋_GB2312" w:eastAsia="仿宋_GB2312"/>
              </w:rPr>
              <w:t xml:space="preserve"> （二）供应商应加强对突发事件的防范和应急预案演练，确保人员安全和施工安全。对采购方提出的质量问题和安全隐患，及时制定整改措施，抓好落实。 </w:t>
            </w:r>
            <w:r>
              <w:br/>
            </w:r>
            <w:r>
              <w:rPr>
                <w:rFonts w:ascii="仿宋_GB2312" w:hAnsi="仿宋_GB2312" w:cs="仿宋_GB2312" w:eastAsia="仿宋_GB2312"/>
              </w:rPr>
              <w:t xml:space="preserve"> （三）供应商应建立安全生产责任制度，明确各级安全责任，定期对施工人员进行安全教育和安全技术交底，且保证所有特种作业人员持证上岗。 </w:t>
            </w:r>
            <w:r>
              <w:br/>
            </w:r>
            <w:r>
              <w:rPr>
                <w:rFonts w:ascii="仿宋_GB2312" w:hAnsi="仿宋_GB2312" w:cs="仿宋_GB2312" w:eastAsia="仿宋_GB2312"/>
              </w:rPr>
              <w:t xml:space="preserve"> （四）供应商对施工现场的安全负全责，凡在施工现场内因管理不善或其他原因引发的打架斗殴、内外纠纷，发生的火灾、爆炸、中毒、触电，工程施工、停工、返工，环境污染、盗窃、失窃等所发生的人员伤亡责任、经济财产损失均由己方承担。 </w:t>
            </w:r>
            <w:r>
              <w:br/>
            </w:r>
            <w:r>
              <w:rPr>
                <w:rFonts w:ascii="仿宋_GB2312" w:hAnsi="仿宋_GB2312" w:cs="仿宋_GB2312" w:eastAsia="仿宋_GB2312"/>
              </w:rPr>
              <w:t xml:space="preserve"> （五）因供应商管理不善、工作失职、要求不严、计划不周、违反施工程序和操作规程、擅自改变工程结构、偷工减料、使用劣质材料、弄虚作假等原因造成的工程质量、施工安全出现问题，引起工程返工和人员伤亡，供应商须按照合同规定要求进行整改，所造成的经济损失全部由己方承担；造成严重后果的，按照国家有关法律法规，承担法律责任。 </w:t>
            </w:r>
            <w:r>
              <w:br/>
            </w:r>
            <w:r>
              <w:rPr>
                <w:rFonts w:ascii="仿宋_GB2312" w:hAnsi="仿宋_GB2312" w:cs="仿宋_GB2312" w:eastAsia="仿宋_GB2312"/>
              </w:rPr>
              <w:t xml:space="preserve"> （六）供应商应自行办理工伤（亡）保险，对所发生的各类事故负全部责任，并负责做好与保险公司理赔及事故的善后处理工作。 </w:t>
            </w:r>
            <w:r>
              <w:br/>
            </w:r>
            <w:r>
              <w:rPr>
                <w:rFonts w:ascii="仿宋_GB2312" w:hAnsi="仿宋_GB2312" w:cs="仿宋_GB2312" w:eastAsia="仿宋_GB2312"/>
              </w:rPr>
              <w:t xml:space="preserve"> （七）供应商要按规定要求制定劳保技术措施，保证操作人员劳保用品和用工规范要求。 </w:t>
            </w:r>
            <w:r>
              <w:br/>
            </w:r>
            <w:r>
              <w:rPr>
                <w:rFonts w:ascii="仿宋_GB2312" w:hAnsi="仿宋_GB2312" w:cs="仿宋_GB2312" w:eastAsia="仿宋_GB2312"/>
              </w:rPr>
              <w:t xml:space="preserve"> （八）供应商负责施工现场原有管网、线路、设施等挪移及后续复位。</w:t>
            </w:r>
            <w:r>
              <w:br/>
            </w:r>
            <w:r>
              <w:rPr>
                <w:rFonts w:ascii="仿宋_GB2312" w:hAnsi="仿宋_GB2312" w:cs="仿宋_GB2312" w:eastAsia="仿宋_GB2312"/>
              </w:rPr>
              <w:t xml:space="preserve"> 五、商务要求（如合同价款及结算方式等）</w:t>
            </w:r>
            <w:r>
              <w:br/>
            </w:r>
            <w:r>
              <w:rPr>
                <w:rFonts w:ascii="仿宋_GB2312" w:hAnsi="仿宋_GB2312" w:cs="仿宋_GB2312" w:eastAsia="仿宋_GB2312"/>
              </w:rPr>
              <w:t xml:space="preserve"> 合同签订后，采购人7个日历日内支付合同价的40%作为工程预付款，施工完成并验收合格后采购人向供应商支付至合同价的80%；竣工验收合格后成交供应商报送结算资料，结算资料经审定后15个工作日内支付至最终决算价款。</w:t>
            </w:r>
            <w:r>
              <w:br/>
            </w:r>
            <w:r>
              <w:rPr>
                <w:rFonts w:ascii="仿宋_GB2312" w:hAnsi="仿宋_GB2312" w:cs="仿宋_GB2312" w:eastAsia="仿宋_GB2312"/>
              </w:rPr>
              <w:t xml:space="preserve"> 六、其他</w:t>
            </w:r>
            <w:r>
              <w:br/>
            </w:r>
            <w:r>
              <w:rPr>
                <w:rFonts w:ascii="仿宋_GB2312" w:hAnsi="仿宋_GB2312" w:cs="仿宋_GB2312" w:eastAsia="仿宋_GB2312"/>
              </w:rPr>
              <w:t xml:space="preserve"> （一）质量验收标准或规范</w:t>
            </w:r>
            <w:r>
              <w:br/>
            </w:r>
            <w:r>
              <w:rPr>
                <w:rFonts w:ascii="仿宋_GB2312" w:hAnsi="仿宋_GB2312" w:cs="仿宋_GB2312" w:eastAsia="仿宋_GB2312"/>
              </w:rPr>
              <w:t xml:space="preserve"> 工程质量应当达到合同约定的质量合格标准，质量标准的评定以国家或行业的质量检验评定标准为依据。</w:t>
            </w:r>
            <w:r>
              <w:br/>
            </w:r>
            <w:r>
              <w:rPr>
                <w:rFonts w:ascii="仿宋_GB2312" w:hAnsi="仿宋_GB2312" w:cs="仿宋_GB2312" w:eastAsia="仿宋_GB2312"/>
              </w:rPr>
              <w:t xml:space="preserve"> （二）违约责任</w:t>
            </w:r>
            <w:r>
              <w:br/>
            </w:r>
            <w:r>
              <w:rPr>
                <w:rFonts w:ascii="仿宋_GB2312" w:hAnsi="仿宋_GB2312" w:cs="仿宋_GB2312" w:eastAsia="仿宋_GB2312"/>
              </w:rPr>
              <w:t xml:space="preserve"> 1、如本工程达不到约定的质量标准，供应商予以全额赔偿且承担由此给采购方造成的全部损失;同时，采购方向建设主管部门报告，依照国务院 279 号令《建设工程质量管理条例》追究成交供应商的法律责任。 </w:t>
            </w:r>
            <w:r>
              <w:br/>
            </w:r>
            <w:r>
              <w:rPr>
                <w:rFonts w:ascii="仿宋_GB2312" w:hAnsi="仿宋_GB2312" w:cs="仿宋_GB2312" w:eastAsia="仿宋_GB2312"/>
              </w:rPr>
              <w:t xml:space="preserve"> 2、按《中华人民共和国民法典》中的相关条款执行。 </w:t>
            </w:r>
            <w:r>
              <w:br/>
            </w:r>
            <w:r>
              <w:rPr>
                <w:rFonts w:ascii="仿宋_GB2312" w:hAnsi="仿宋_GB2312" w:cs="仿宋_GB2312" w:eastAsia="仿宋_GB2312"/>
              </w:rPr>
              <w:t xml:space="preserve"> 3、未按合同要求提供工程质量或工程质量不能满足技术要求，采购人有权终止合同，并对供应商违约行为进行追究，同时按《政府采购法》的有关规定进行处罚。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工程质量应当达到合同约定的质量合格标准，质量标准的评定以国家或行业的质量检验评定标准为依据。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工程质量应当达到合同约定的质量合格标准，质量标准的评定以国家或行业的质量检验评定标准为依据。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（1）供应商应是独立承担民事责任能力的法人、其他组织或自然人，法人、其他组织须提供合法有效的营业执照或事业单位法人证等证明资料，自然人须提供身份证明； （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 （3）供应商须提供近半年的依法纳税证明材料，依法免税及依法不需要缴纳的应提供相关文件证明； （4）供应商须提供近半年的社会保障资金的证明材料，由第三方代缴的须出具委托第三方代缴合同及社会保障资金的缴纳证明材料;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同时具备有效的安全生产许可证；（外省企业需在“陕西省住房和城乡建设厅（https://js.shaanxi.gov.cn/）”可查询，附查询截图，截图应包括网站中“外省进陕施工企业的基本信息和进陕人员信息”）；</w:t>
            </w:r>
          </w:p>
        </w:tc>
        <w:tc>
          <w:tcPr>
            <w:tcW w:type="dxa" w:w="1661"/>
          </w:tcPr>
          <w:p>
            <w:pPr>
              <w:pStyle w:val="null3"/>
            </w:pPr>
            <w:r>
              <w:rPr>
                <w:rFonts w:ascii="仿宋_GB2312" w:hAnsi="仿宋_GB2312" w:cs="仿宋_GB2312" w:eastAsia="仿宋_GB2312"/>
              </w:rPr>
              <w:t>项目管理机构组成表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须具备在本单位注册的建筑工程专业贰级（含贰级）以上注册建造师资质，并具备有效的安全生产考核合格证书B证，且无在建工程（提供承诺函）；</w:t>
            </w:r>
          </w:p>
        </w:tc>
        <w:tc>
          <w:tcPr>
            <w:tcW w:type="dxa" w:w="1661"/>
          </w:tcPr>
          <w:p>
            <w:pPr>
              <w:pStyle w:val="null3"/>
            </w:pPr>
            <w:r>
              <w:rPr>
                <w:rFonts w:ascii="仿宋_GB2312" w:hAnsi="仿宋_GB2312" w:cs="仿宋_GB2312" w:eastAsia="仿宋_GB2312"/>
              </w:rPr>
              <w:t>项目管理机构组成表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信息发布平台</w:t>
            </w:r>
          </w:p>
        </w:tc>
        <w:tc>
          <w:tcPr>
            <w:tcW w:type="dxa" w:w="3322"/>
          </w:tcPr>
          <w:p>
            <w:pPr>
              <w:pStyle w:val="null3"/>
            </w:pPr>
            <w:r>
              <w:rPr>
                <w:rFonts w:ascii="仿宋_GB2312" w:hAnsi="仿宋_GB2312" w:cs="仿宋_GB2312" w:eastAsia="仿宋_GB2312"/>
              </w:rPr>
              <w:t>供应商及拟派项目经理须在陕西省建筑市场监管与诚信信息发布平台可查询且无不良记录</w:t>
            </w:r>
          </w:p>
        </w:tc>
        <w:tc>
          <w:tcPr>
            <w:tcW w:type="dxa" w:w="1661"/>
          </w:tcPr>
          <w:p>
            <w:pPr>
              <w:pStyle w:val="null3"/>
            </w:pPr>
            <w:r>
              <w:rPr>
                <w:rFonts w:ascii="仿宋_GB2312" w:hAnsi="仿宋_GB2312" w:cs="仿宋_GB2312" w:eastAsia="仿宋_GB2312"/>
              </w:rPr>
              <w:t>项目管理机构组成表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项目管理机构组成表 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 可依据住建部门发布的《建设工程资质》中的“承包工程范围”进行确定。 根据《政府采购促进中小企业发展管理办法》（财库〔2020〕46号）的规定,不得以企业注册资本、资、利润、纳税额等规模条件和财务指标作为供应商的资格要求或者评审因素，不得在企业股权结构、经营年限等方面对中小企业实行差别待遇或者歧视待遇。</w:t>
            </w:r>
          </w:p>
        </w:tc>
        <w:tc>
          <w:tcPr>
            <w:tcW w:type="dxa" w:w="1661"/>
          </w:tcPr>
          <w:p>
            <w:pPr>
              <w:pStyle w:val="null3"/>
            </w:pPr>
            <w:r>
              <w:rPr>
                <w:rFonts w:ascii="仿宋_GB2312" w:hAnsi="仿宋_GB2312" w:cs="仿宋_GB2312" w:eastAsia="仿宋_GB2312"/>
              </w:rPr>
              <w:t>项目管理机构组成表 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本项目特性了解透彻，施工组织设计方案先进可行，与项目实际结合紧密，对施工具有高度指导性，得5.1-8.0分；对项目特性了解较好，施工组织设计方案基本可行，得3.1-5.0分；对项目特性了解一般，施工组织设计方案较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质量目标明确，管理体系健全，预防和动态控制措施全面，得5.1-8.0分；质量目标基本明确，管理体系较全，保证措施较全面，得3.1-5.0分；质量目标不明确，管理体系不全，保证措施不利，得1.0-3.0分；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安全文明施工保证体系及保证措施</w:t>
            </w:r>
          </w:p>
        </w:tc>
        <w:tc>
          <w:tcPr>
            <w:tcW w:type="dxa" w:w="2492"/>
          </w:tcPr>
          <w:p>
            <w:pPr>
              <w:pStyle w:val="null3"/>
            </w:pPr>
            <w:r>
              <w:rPr>
                <w:rFonts w:ascii="仿宋_GB2312" w:hAnsi="仿宋_GB2312" w:cs="仿宋_GB2312" w:eastAsia="仿宋_GB2312"/>
              </w:rPr>
              <w:t>安全文明施工保证体系健全，预防和动态控制措施全面，得5.1-8.0分；安全文明施工保证体系较全，保证措施较全面，得3.1-5.0分；安全文明施工保证体系不全，保证措施不利，得1.0-3.0分；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施工进度及工期目标保障措施</w:t>
            </w:r>
          </w:p>
        </w:tc>
        <w:tc>
          <w:tcPr>
            <w:tcW w:type="dxa" w:w="2492"/>
          </w:tcPr>
          <w:p>
            <w:pPr>
              <w:pStyle w:val="null3"/>
            </w:pPr>
            <w:r>
              <w:rPr>
                <w:rFonts w:ascii="仿宋_GB2312" w:hAnsi="仿宋_GB2312" w:cs="仿宋_GB2312" w:eastAsia="仿宋_GB2312"/>
              </w:rPr>
              <w:t>保障措施全面，施工计划网络图或横道图合理，得5.1-8.0分；保障措施较全面，施工计划网络图或横道图较合理，得3.1-5.0分；保障措施不利，施工计划网络图或横道图不合理，得1.0-3.0分；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人员专业配备齐全、数量合理，得5.1-8.0分；人员专业配备较齐全、数量较合理，得3.1-5.0分；人员专业配备不全、数量不合理，得1.0-3.0分；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拟投入本项目的主要机具设备及检测仪器</w:t>
            </w:r>
          </w:p>
        </w:tc>
        <w:tc>
          <w:tcPr>
            <w:tcW w:type="dxa" w:w="2492"/>
          </w:tcPr>
          <w:p>
            <w:pPr>
              <w:pStyle w:val="null3"/>
            </w:pPr>
            <w:r>
              <w:rPr>
                <w:rFonts w:ascii="仿宋_GB2312" w:hAnsi="仿宋_GB2312" w:cs="仿宋_GB2312" w:eastAsia="仿宋_GB2312"/>
              </w:rPr>
              <w:t>机具设备仪器类型全面、数量合理，得5.1-8.0分；机具设备仪器类型较全面、数量较合理，得3.1-5.0分；机具设备仪器类型不全、数量不合理，得1.0-3.0分；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w:t>
            </w:r>
          </w:p>
        </w:tc>
        <w:tc>
          <w:tcPr>
            <w:tcW w:type="dxa" w:w="2492"/>
          </w:tcPr>
          <w:p>
            <w:pPr>
              <w:pStyle w:val="null3"/>
            </w:pPr>
            <w:r>
              <w:rPr>
                <w:rFonts w:ascii="仿宋_GB2312" w:hAnsi="仿宋_GB2312" w:cs="仿宋_GB2312" w:eastAsia="仿宋_GB2312"/>
              </w:rPr>
              <w:t>突发事件应急预案考虑全面，切实可行，操作性强，得5.1-8.0分；突发事件应急预案考虑较全面，操作性一般，得3.1-5.0分；突发事件应急预案考虑不全，操作性差，得1.0-3.0分；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环境保护体系及保证措施</w:t>
            </w:r>
          </w:p>
        </w:tc>
        <w:tc>
          <w:tcPr>
            <w:tcW w:type="dxa" w:w="2492"/>
          </w:tcPr>
          <w:p>
            <w:pPr>
              <w:pStyle w:val="null3"/>
            </w:pPr>
            <w:r>
              <w:rPr>
                <w:rFonts w:ascii="仿宋_GB2312" w:hAnsi="仿宋_GB2312" w:cs="仿宋_GB2312" w:eastAsia="仿宋_GB2312"/>
              </w:rPr>
              <w:t>环境保护体系健全，预防和动态控制措施全面，得5.1-8.0分；环境保护体系较全，保证措施较全面，得3.1-5.0分；环境保护体系不全，保证措施不利，得1.0-3.0分；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2022年1月1日起至本项目响应文件递交截止时间止，每提供一份已完成的类似项目业绩得2分，最多得6分。以响应文件中所附合同或中标通知书扫描件加盖公章为准；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1、满足磋商文件要求且最终磋商报价价格最低的磋商报价为评标基准价，其价格分为满分。其他供应商的价格分统一按照下列公式计算：报价得分=（评标基准价/磋商报价）×价格权值×100 。 2、本项目为专门面向中小企业采购，故不再执行价格评审优惠扶持政策。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