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62C2F">
      <w:pPr>
        <w:spacing w:line="360" w:lineRule="auto"/>
        <w:jc w:val="center"/>
        <w:outlineLvl w:val="9"/>
        <w:rPr>
          <w:rFonts w:hint="eastAsia" w:ascii="仿宋" w:hAnsi="仿宋" w:eastAsia="仿宋" w:cs="仿宋"/>
          <w:b/>
          <w:bCs/>
          <w:color w:val="000000"/>
          <w:sz w:val="48"/>
          <w:szCs w:val="48"/>
          <w:highlight w:val="none"/>
          <w:lang w:eastAsia="zh-CN"/>
        </w:rPr>
      </w:pPr>
      <w:bookmarkStart w:id="0" w:name="_Toc4040"/>
    </w:p>
    <w:p w14:paraId="2009F578">
      <w:pPr>
        <w:spacing w:line="360" w:lineRule="auto"/>
        <w:jc w:val="center"/>
        <w:outlineLvl w:val="9"/>
        <w:rPr>
          <w:rFonts w:hint="eastAsia" w:ascii="仿宋" w:hAnsi="仿宋" w:eastAsia="仿宋" w:cs="仿宋"/>
          <w:b/>
          <w:bCs/>
          <w:color w:val="000000"/>
          <w:sz w:val="48"/>
          <w:szCs w:val="48"/>
          <w:highlight w:val="none"/>
          <w:lang w:eastAsia="zh-CN"/>
        </w:rPr>
      </w:pPr>
    </w:p>
    <w:p w14:paraId="06FD92D1">
      <w:pPr>
        <w:spacing w:line="360" w:lineRule="auto"/>
        <w:jc w:val="center"/>
        <w:outlineLvl w:val="9"/>
        <w:rPr>
          <w:rFonts w:hint="eastAsia" w:ascii="仿宋" w:hAnsi="仿宋" w:eastAsia="仿宋" w:cs="仿宋"/>
          <w:b/>
          <w:bCs/>
          <w:color w:val="000000"/>
          <w:sz w:val="48"/>
          <w:szCs w:val="48"/>
          <w:highlight w:val="none"/>
          <w:lang w:eastAsia="zh-CN"/>
        </w:rPr>
      </w:pPr>
    </w:p>
    <w:p w14:paraId="54F8779D">
      <w:pPr>
        <w:spacing w:line="360" w:lineRule="auto"/>
        <w:jc w:val="center"/>
        <w:outlineLvl w:val="9"/>
        <w:rPr>
          <w:rFonts w:hint="eastAsia" w:ascii="仿宋" w:hAnsi="仿宋" w:eastAsia="仿宋" w:cs="仿宋"/>
          <w:b/>
          <w:bCs/>
          <w:color w:val="000000"/>
          <w:sz w:val="48"/>
          <w:szCs w:val="48"/>
          <w:highlight w:val="none"/>
          <w:lang w:eastAsia="zh-CN"/>
        </w:rPr>
      </w:pPr>
    </w:p>
    <w:p w14:paraId="3C9AAB0A">
      <w:pPr>
        <w:spacing w:line="360" w:lineRule="auto"/>
        <w:jc w:val="center"/>
        <w:outlineLvl w:val="9"/>
        <w:rPr>
          <w:rFonts w:hint="eastAsia" w:ascii="仿宋" w:hAnsi="仿宋" w:eastAsia="仿宋" w:cs="仿宋"/>
          <w:b/>
          <w:bCs/>
          <w:color w:val="000000"/>
          <w:sz w:val="52"/>
          <w:szCs w:val="52"/>
          <w:highlight w:val="none"/>
        </w:rPr>
      </w:pPr>
      <w:bookmarkStart w:id="9" w:name="_GoBack"/>
      <w:bookmarkEnd w:id="9"/>
      <w:r>
        <w:rPr>
          <w:rFonts w:hint="eastAsia" w:ascii="仿宋" w:hAnsi="仿宋" w:eastAsia="仿宋" w:cs="仿宋"/>
          <w:b/>
          <w:bCs/>
          <w:color w:val="000000"/>
          <w:sz w:val="48"/>
          <w:szCs w:val="48"/>
          <w:highlight w:val="none"/>
          <w:lang w:eastAsia="zh-CN"/>
        </w:rPr>
        <w:t>西安大兴新区社区卫生服务中心彩色多普勒超声诊断系统采购项目</w:t>
      </w:r>
      <w:r>
        <w:rPr>
          <w:rFonts w:hint="eastAsia" w:ascii="仿宋" w:hAnsi="仿宋" w:eastAsia="仿宋" w:cs="仿宋"/>
          <w:b/>
          <w:bCs/>
          <w:color w:val="000000"/>
          <w:sz w:val="48"/>
          <w:szCs w:val="48"/>
          <w:highlight w:val="none"/>
        </w:rPr>
        <w:t>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①产品验收合格整机使用正常后支付合同总价款的40%作为预付款。</w:t>
      </w:r>
    </w:p>
    <w:p w14:paraId="290C4835">
      <w:pPr>
        <w:spacing w:line="360" w:lineRule="auto"/>
        <w:ind w:firstLine="480" w:firstLineChars="200"/>
        <w:rPr>
          <w:rFonts w:hint="eastAsia" w:ascii="仿宋" w:hAnsi="仿宋" w:eastAsia="仿宋_GB2312" w:cs="仿宋"/>
          <w:bCs/>
          <w:szCs w:val="24"/>
          <w:highlight w:val="none"/>
          <w:lang w:eastAsia="zh-CN"/>
        </w:rPr>
      </w:pPr>
      <w:r>
        <w:rPr>
          <w:rFonts w:hint="eastAsia" w:ascii="仿宋" w:hAnsi="仿宋" w:eastAsia="仿宋" w:cs="仿宋"/>
          <w:bCs/>
          <w:szCs w:val="24"/>
          <w:highlight w:val="none"/>
        </w:rPr>
        <w:t>②剩余60%自设备安装验收合格日起三年内付清</w:t>
      </w:r>
      <w:r>
        <w:rPr>
          <w:rFonts w:hint="eastAsia" w:ascii="仿宋_GB2312" w:hAnsi="仿宋_GB2312" w:eastAsia="仿宋_GB2312" w:cs="仿宋_GB2312"/>
          <w:sz w:val="24"/>
          <w:szCs w:val="24"/>
          <w:highlight w:val="none"/>
          <w:lang w:eastAsia="zh-CN"/>
        </w:rPr>
        <w:t>。</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highlight w:val="none"/>
          <w:lang w:val="en-US" w:eastAsia="zh-CN"/>
        </w:rPr>
        <w:t>③由中标人按照招标文件中约定的付款方式向采。购人提出申请，征得西安市莲湖区财政局同意后</w:t>
      </w:r>
      <w:r>
        <w:rPr>
          <w:rFonts w:hint="eastAsia" w:ascii="仿宋" w:hAnsi="仿宋" w:eastAsia="仿宋" w:cs="仿宋"/>
          <w:highlight w:val="none"/>
        </w:rPr>
        <w:t>，待财政拨付到位后可按文件中规定的付款方式进行结算。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自合同签订之日起30个日历日完成全部项目内容，并交付采购人验收合格。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自安装、调试正常运行并验收合格之日起，整机厂家质保3年，厂家终身免费维护。</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 xml:space="preserve">八、运输、安装、调试要求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技术管理人员、相关</w:t>
      </w:r>
      <w:r>
        <w:rPr>
          <w:rFonts w:hint="eastAsia" w:ascii="仿宋" w:hAnsi="仿宋" w:eastAsia="仿宋" w:cs="仿宋"/>
          <w:szCs w:val="24"/>
          <w:highlight w:val="none"/>
          <w:lang w:val="en-US" w:eastAsia="zh-CN"/>
        </w:rPr>
        <w:t>人员</w:t>
      </w:r>
      <w:r>
        <w:rPr>
          <w:rFonts w:hint="eastAsia" w:ascii="仿宋" w:hAnsi="仿宋" w:eastAsia="仿宋" w:cs="仿宋"/>
          <w:szCs w:val="24"/>
          <w:highlight w:val="none"/>
        </w:rPr>
        <w:t>进行线下不少于三次培训。培训，并提供线上7×24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03D32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十三、验收</w:t>
      </w:r>
    </w:p>
    <w:p w14:paraId="5BB3D172">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 xml:space="preserve">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2.</w:t>
      </w:r>
      <w:r>
        <w:rPr>
          <w:rFonts w:hint="eastAsia" w:ascii="仿宋" w:hAnsi="仿宋" w:eastAsia="仿宋" w:cs="仿宋"/>
          <w:b w:val="0"/>
          <w:bCs/>
          <w:szCs w:val="24"/>
          <w:highlight w:val="none"/>
          <w:lang w:val="en-US" w:eastAsia="zh-CN"/>
        </w:rPr>
        <w:t>采购人</w:t>
      </w:r>
      <w:r>
        <w:rPr>
          <w:rFonts w:hint="eastAsia" w:ascii="仿宋" w:hAnsi="仿宋" w:eastAsia="仿宋" w:cs="仿宋"/>
          <w:b w:val="0"/>
          <w:bCs/>
          <w:szCs w:val="24"/>
          <w:highlight w:val="none"/>
        </w:rPr>
        <w:t>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72042352">
      <w:pPr>
        <w:spacing w:line="360" w:lineRule="auto"/>
        <w:ind w:firstLine="720" w:firstLineChars="300"/>
        <w:rPr>
          <w:rFonts w:hint="eastAsia" w:ascii="仿宋" w:hAnsi="仿宋" w:eastAsia="仿宋" w:cs="仿宋"/>
          <w:b/>
          <w:szCs w:val="24"/>
          <w:highlight w:val="none"/>
        </w:rPr>
      </w:pPr>
      <w:r>
        <w:rPr>
          <w:rFonts w:hint="eastAsia" w:ascii="仿宋" w:hAnsi="仿宋" w:eastAsia="仿宋" w:cs="仿宋"/>
          <w:b w:val="0"/>
          <w:bCs/>
          <w:szCs w:val="24"/>
          <w:highlight w:val="none"/>
        </w:rPr>
        <w:t>有关配件费用按照出厂价计算。</w:t>
      </w:r>
    </w:p>
    <w:p w14:paraId="2E6DD3D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二十、监督和管理</w:t>
      </w:r>
    </w:p>
    <w:p w14:paraId="4BAC9BA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w:t>
      </w:r>
      <w:r>
        <w:rPr>
          <w:rFonts w:hint="eastAsia" w:ascii="仿宋" w:hAnsi="仿宋" w:eastAsia="仿宋" w:cs="仿宋"/>
          <w:szCs w:val="24"/>
          <w:highlight w:val="none"/>
        </w:rPr>
        <w:t>采购人供应商</w:t>
      </w:r>
      <w:r>
        <w:rPr>
          <w:rFonts w:hint="eastAsia" w:ascii="仿宋" w:hAnsi="仿宋" w:eastAsia="仿宋" w:cs="仿宋"/>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二十一、合同订立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供应商：</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212A606C">
      <w:pPr>
        <w:spacing w:before="166" w:beforeLines="50" w:after="120"/>
        <w:jc w:val="left"/>
        <w:outlineLvl w:val="9"/>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noWrap w:val="0"/>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noWrap w:val="0"/>
            <w:vAlign w:val="center"/>
          </w:tcPr>
          <w:p w14:paraId="111947AC">
            <w:pPr>
              <w:pStyle w:val="2"/>
              <w:spacing w:before="0" w:after="0"/>
              <w:ind w:left="0"/>
              <w:jc w:val="center"/>
              <w:outlineLvl w:val="1"/>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noWrap w:val="0"/>
            <w:vAlign w:val="center"/>
          </w:tcPr>
          <w:p w14:paraId="7D2E1C9B">
            <w:pPr>
              <w:pStyle w:val="2"/>
              <w:spacing w:before="0" w:after="0"/>
              <w:ind w:left="0"/>
              <w:jc w:val="center"/>
              <w:outlineLvl w:val="1"/>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noWrap w:val="0"/>
            <w:vAlign w:val="center"/>
          </w:tcPr>
          <w:p w14:paraId="3AA48C9B">
            <w:pPr>
              <w:pStyle w:val="2"/>
              <w:spacing w:before="0" w:after="0"/>
              <w:ind w:left="0"/>
              <w:jc w:val="center"/>
              <w:outlineLvl w:val="1"/>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noWrap w:val="0"/>
            <w:vAlign w:val="center"/>
          </w:tcPr>
          <w:p w14:paraId="59A30888">
            <w:pPr>
              <w:pStyle w:val="2"/>
              <w:spacing w:before="0" w:after="0"/>
              <w:ind w:left="0"/>
              <w:jc w:val="center"/>
              <w:outlineLvl w:val="1"/>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outlineLvl w:val="1"/>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noWrap w:val="0"/>
            <w:vAlign w:val="center"/>
          </w:tcPr>
          <w:p w14:paraId="32226E1C">
            <w:pPr>
              <w:pStyle w:val="2"/>
              <w:spacing w:before="0" w:after="0"/>
              <w:ind w:left="0"/>
              <w:jc w:val="center"/>
              <w:outlineLvl w:val="1"/>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outlineLvl w:val="1"/>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noWrap w:val="0"/>
            <w:vAlign w:val="center"/>
          </w:tcPr>
          <w:p w14:paraId="271C0E0A">
            <w:pPr>
              <w:pStyle w:val="2"/>
              <w:spacing w:before="0" w:after="0"/>
              <w:ind w:left="0"/>
              <w:jc w:val="center"/>
              <w:outlineLvl w:val="1"/>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ADC0B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20016BB0">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2DC60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58FB81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6187E42">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06DF8D8C">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60DC516A">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221C68D">
            <w:pPr>
              <w:spacing w:before="16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3077301E">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4CDF53B">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6267C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26C749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75EEAB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C8B5FA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C5C8E68">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5121D2E">
            <w:pPr>
              <w:spacing w:before="16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1286107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31688FB6">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3D5FBD4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D7E145F">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34E4AF7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344119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02432C31">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C88D58E">
            <w:pPr>
              <w:spacing w:before="16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E0C96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6E5A49F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7A741528">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0902991">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D2EAA1">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101882C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4C315E2">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B7538BE">
            <w:pPr>
              <w:spacing w:before="16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23C49AB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5C6797C">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2F34B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97B7D50">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15E36C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E3AE81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48B6015">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1B2A2F70">
            <w:pPr>
              <w:spacing w:before="16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BA19A8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4428D8A">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CFE2A2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A5726EA">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08F64D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A3CD02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7987AF6">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1EF5D97">
            <w:pPr>
              <w:spacing w:before="16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F51B376">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08E14E6E">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D588D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334CAA8">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65A0D7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DB9FC04">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F26F5C9">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0A9AFCD">
            <w:pPr>
              <w:spacing w:before="16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7A85301C">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67C7848">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05DEFDC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0E65947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646496">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9D3A0EE">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5BF902CB">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A86D45F">
            <w:pPr>
              <w:spacing w:before="16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4B9102D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7FAE69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55C60A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7BE511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5DEA5660">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0C82C2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8FB9A1C">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0853FDB8">
            <w:pPr>
              <w:spacing w:before="166" w:beforeLines="50" w:line="360" w:lineRule="auto"/>
              <w:jc w:val="center"/>
              <w:rPr>
                <w:rFonts w:hint="eastAsia" w:ascii="仿宋" w:hAnsi="仿宋" w:eastAsia="仿宋" w:cs="仿宋"/>
                <w:sz w:val="21"/>
                <w:szCs w:val="21"/>
                <w:highlight w:val="none"/>
              </w:rPr>
            </w:pPr>
          </w:p>
        </w:tc>
      </w:tr>
    </w:tbl>
    <w:p w14:paraId="6AA5DF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81D0B"/>
    <w:rsid w:val="6BC8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2025-12-25T10:31:00Z</dcterms:created>
  <dc:creator>苍白假面</dc:creator>
  <cp:lastModifiedBy>苍白假面</cp:lastModifiedBy>
  <dcterms:modified xsi:type="dcterms:W3CDTF">2025-12-25T10:31:21Z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5CD96B6318B449B5AC880C1BA81DD8E9_11</vt:lpwstr>
  </property>
  <property fmtid="{D5CDD505-2E9C-101B-9397-08002B2CF9AE}" pid="4" name="KSOTemplateDocerSaveRecord">
    <vt:lpwstr>eyJoZGlkIjoiY2U1ZTlkNThkYmUxMjkwM2M5Y2E1YWM0NWQ1ZjUwMDUiLCJ1c2VySWQiOiIyNzI4NDY5MDUifQ==</vt:lpwstr>
  </property>
</Properties>
</file>