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版本号：RCZB2024-XD-11-0320250312001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莲湖区发展和改革委员会委托第三方提供专家服务项目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RCZB2024-XD-11-03</w:t>
      </w:r>
      <w:r>
        <w:br/>
      </w:r>
      <w:r>
        <w:br/>
      </w:r>
      <w:r>
        <w:br/>
      </w:r>
    </w:p>
    <w:p>
      <w:pPr>
        <w:pStyle w:val="null3"/>
        <w:jc w:val="center"/>
        <w:outlineLvl w:val="2"/>
      </w:pPr>
      <w:r>
        <w:rPr>
          <w:rFonts w:ascii="仿宋_GB2312" w:hAnsi="仿宋_GB2312" w:cs="仿宋_GB2312" w:eastAsia="仿宋_GB2312"/>
          <w:sz w:val="28"/>
          <w:b/>
        </w:rPr>
        <w:t>西安市莲湖区发展和改革委员会</w:t>
      </w:r>
    </w:p>
    <w:p>
      <w:pPr>
        <w:pStyle w:val="null3"/>
        <w:jc w:val="center"/>
        <w:outlineLvl w:val="2"/>
      </w:pPr>
      <w:r>
        <w:rPr>
          <w:rFonts w:ascii="仿宋_GB2312" w:hAnsi="仿宋_GB2312" w:cs="仿宋_GB2312" w:eastAsia="仿宋_GB2312"/>
          <w:sz w:val="28"/>
          <w:b/>
        </w:rPr>
        <w:t>锐驰项目管理有限公司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锐驰项目管理有限公司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西安市莲湖区发展和改革委员会</w:t>
      </w:r>
      <w:r>
        <w:rPr>
          <w:rFonts w:ascii="仿宋_GB2312" w:hAnsi="仿宋_GB2312" w:cs="仿宋_GB2312" w:eastAsia="仿宋_GB2312"/>
        </w:rPr>
        <w:t>委托，拟对</w:t>
      </w:r>
      <w:r>
        <w:rPr>
          <w:rFonts w:ascii="仿宋_GB2312" w:hAnsi="仿宋_GB2312" w:cs="仿宋_GB2312" w:eastAsia="仿宋_GB2312"/>
        </w:rPr>
        <w:t>莲湖区发展和改革委员会委托第三方提供专家服务项目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RCZB2024-XD-11-03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莲湖区发展和改革委员会委托第三方提供专家服务项目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为全面贯彻党的二十届二中、三中全会精神，深入贯彻落实总书记来陕考察重要讲话重要指示精神，坚持人才在全区高质 量发展全局中的核心地位，围绕经济社会发展重大课题，更好地搭建高端才智与区委、区政府的沟通平台，通过委托第三方机 构提供专家服务，聚焦整合资源，拓展交流广度，遴选具有丰富专业知识和实践经验的专家学者及实务工作者，在经济发展、 项目谋划、难题破解、手续攻坚等应用端为莲湖区提出决策咨询和实践支持，切实将专家顾问的个体智慧凝聚成科学决策的集 体智慧，为区委区政府重点工作提供助力，为重点领域寻求突破，为重点项目保驾护航，加快建设“丝路新风烟火色 活力幸福 新莲湖”，奋力谱写中心城区高质量发展新篇章。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采购包1（莲湖区发展和改革委员会委托第三方提供专家服务项目）：属于专门面向中小企业采购。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1、营业执照、事业单位法人证书、自然人身份证明：供应商为具有独立承担民事责任能力的法人或其他组织或自然人，并提供法人或者其他组织合法有 效的营业执照等证明文件，事业单位应提供事业单位法人证书，自然人应提供身份证明文件；</w:t>
      </w:r>
    </w:p>
    <w:p>
      <w:pPr>
        <w:pStyle w:val="null3"/>
      </w:pPr>
      <w:r>
        <w:rPr>
          <w:rFonts w:ascii="仿宋_GB2312" w:hAnsi="仿宋_GB2312" w:cs="仿宋_GB2312" w:eastAsia="仿宋_GB2312"/>
        </w:rPr>
        <w:t>2、法人身份证复印件或法定代表人授权书及被授权人身份证复印件：供应商应授权合法的人员参加磋商全过程，其中法定代表人直接参加磋商的，须出具法人身份证复 印件，并与营业执照上信息一致。法定代表人授权他人参加磋商的，须出具法定代表人授权书及被 授权人身份证复印件；</w:t>
      </w:r>
    </w:p>
    <w:p>
      <w:pPr>
        <w:pStyle w:val="null3"/>
      </w:pPr>
      <w:r>
        <w:rPr>
          <w:rFonts w:ascii="仿宋_GB2312" w:hAnsi="仿宋_GB2312" w:cs="仿宋_GB2312" w:eastAsia="仿宋_GB2312"/>
        </w:rPr>
        <w:t>3、财务会计制度的证明材料：关于财务会计制度的证明材料｛注：1.2023年度完整的财务报表审计报告（包括但不限于审计报告、资产负债表、利润表、现金流量表、所有者权益变动表及财务报表附注等内容，成立时间至提交响应文件截止时间不足一年的可提供成立后任意时段的资产负债表）；2.提交响应文件截止时间前 三个月内其基本账户开户银行出具的资信证明（附基本存款账户信息）。｝以上两种方式供应商任选其一进行提供，供应商需在项目电子化交易系统中按要求上传相应证明文件并进行电子签章。</w:t>
      </w:r>
    </w:p>
    <w:p>
      <w:pPr>
        <w:pStyle w:val="null3"/>
      </w:pPr>
      <w:r>
        <w:rPr>
          <w:rFonts w:ascii="仿宋_GB2312" w:hAnsi="仿宋_GB2312" w:cs="仿宋_GB2312" w:eastAsia="仿宋_GB2312"/>
        </w:rPr>
        <w:t>4、税收缴纳证明：提供2024年7月至今任意时段已缴纳完税凭证或税务机关开具的完税证明（任意税种）；依法免税 的应提供相关文件证明；</w:t>
      </w:r>
    </w:p>
    <w:p>
      <w:pPr>
        <w:pStyle w:val="null3"/>
      </w:pPr>
      <w:r>
        <w:rPr>
          <w:rFonts w:ascii="仿宋_GB2312" w:hAnsi="仿宋_GB2312" w:cs="仿宋_GB2312" w:eastAsia="仿宋_GB2312"/>
        </w:rPr>
        <w:t>5、社保缴纳证明：提供2024年7月至今任意时段已缴纳的社会保障资金缴存单据或社保机构开具的社会保险参保缴费 情况证明；依法不需要缴纳社会保障资金的应提供相关文件证明；</w:t>
      </w:r>
    </w:p>
    <w:p>
      <w:pPr>
        <w:pStyle w:val="null3"/>
      </w:pPr>
      <w:r>
        <w:rPr>
          <w:rFonts w:ascii="仿宋_GB2312" w:hAnsi="仿宋_GB2312" w:cs="仿宋_GB2312" w:eastAsia="仿宋_GB2312"/>
        </w:rPr>
        <w:t>6、具备履行合同所必需的设备和专业技术能力：具备履行合同所必需的设备和专业技术能力</w:t>
      </w:r>
    </w:p>
    <w:p>
      <w:pPr>
        <w:pStyle w:val="null3"/>
      </w:pPr>
      <w:r>
        <w:rPr>
          <w:rFonts w:ascii="仿宋_GB2312" w:hAnsi="仿宋_GB2312" w:cs="仿宋_GB2312" w:eastAsia="仿宋_GB2312"/>
        </w:rPr>
        <w:t>7、参加政府采购活动前3年内，在经营活动中没有重大违法记录：参加政府采购活动前3年内，在经营活动中没有重大违法记录</w:t>
      </w:r>
    </w:p>
    <w:p>
      <w:pPr>
        <w:pStyle w:val="null3"/>
      </w:pPr>
      <w:r>
        <w:rPr>
          <w:rFonts w:ascii="仿宋_GB2312" w:hAnsi="仿宋_GB2312" w:cs="仿宋_GB2312" w:eastAsia="仿宋_GB2312"/>
        </w:rPr>
        <w:t>8、供应商信用：采购人或代理机构根据《关于在政府采购活动中查询及使用信用记录有关问题的通知》（财库〔20 16〕125号）的要求，通过“信用中国”网站（www.creditchina.gov.cn）、“中国政府采购网”网站（www.ccgp.gov.cn）等渠道，查询供应商在响应文件提交截止时间前的信用记录并保存信用记录结果网页截图，拒绝列入失信被执行人名单、重大税收违法失信主体、政府采购严重违法失信行为记录名单中的供应商参加本项目的采购活动。</w:t>
      </w:r>
    </w:p>
    <w:p>
      <w:pPr>
        <w:pStyle w:val="null3"/>
      </w:pPr>
      <w:r>
        <w:rPr>
          <w:rFonts w:ascii="仿宋_GB2312" w:hAnsi="仿宋_GB2312" w:cs="仿宋_GB2312" w:eastAsia="仿宋_GB2312"/>
        </w:rPr>
        <w:t>9、本项目不接受联合体投标：供应商应提供《非联合体投标声明》，视为独立投标。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莲湖区北院门159号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029-87347762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锐驰项目管理有限公司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西安市雁塔区朱雀大街南段汇成天玺C座11层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029-88669622转801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 中标人向采购代理机构交纳招标代理服务费，招标代理服务费的收取参照国家计委颁发的《招标代理服务收费管理暂行办法》（计价格[2002]1980号）文件规定的“服务”收费标准进行收取,此招标代理服务费应计入报价中，但不需要单独开列。 2. 招标代理服务费的交纳方式：在领取《成交通知书》前向招标代理机构直接交纳，采用现金或转账方式一次性交纳，转款需备注项目名称。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西安市莲湖区发展和改革委员会</w:t>
      </w:r>
      <w:r>
        <w:rPr>
          <w:rFonts w:ascii="仿宋_GB2312" w:hAnsi="仿宋_GB2312" w:cs="仿宋_GB2312" w:eastAsia="仿宋_GB2312"/>
        </w:rPr>
        <w:t>和</w:t>
      </w:r>
      <w:r>
        <w:rPr>
          <w:rFonts w:ascii="仿宋_GB2312" w:hAnsi="仿宋_GB2312" w:cs="仿宋_GB2312" w:eastAsia="仿宋_GB2312"/>
        </w:rPr>
        <w:t>锐驰项目管理有限公司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西安市莲湖区发展和改革委员会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锐驰项目管理有限公司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锐驰项目管理有限公司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锐驰项目管理有限公司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锐驰项目管理有限公司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联系人：杨丽</w:t>
      </w:r>
    </w:p>
    <w:p>
      <w:pPr>
        <w:pStyle w:val="null3"/>
      </w:pPr>
      <w:r>
        <w:rPr>
          <w:rFonts w:ascii="仿宋_GB2312" w:hAnsi="仿宋_GB2312" w:cs="仿宋_GB2312" w:eastAsia="仿宋_GB2312"/>
        </w:rPr>
        <w:t>联系电话：029-88669622转801</w:t>
      </w:r>
    </w:p>
    <w:p>
      <w:pPr>
        <w:pStyle w:val="null3"/>
      </w:pPr>
      <w:r>
        <w:rPr>
          <w:rFonts w:ascii="仿宋_GB2312" w:hAnsi="仿宋_GB2312" w:cs="仿宋_GB2312" w:eastAsia="仿宋_GB2312"/>
        </w:rPr>
        <w:t>地址：西安市雁塔区朱雀大街南段汇成天玺C座11层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面贯彻党的二十届二中、三中全会精神，深入贯彻落实总书记来陕考察重要讲话重要指示精神，坚持人才在全区高质量发展全局中的核心地位，围绕经济社会发展重大课题，更好地搭建高端才智与区委、区政府的沟通平台，通过委托第三方机构提供专家服务，聚焦整合资源，拓展交流广度，遴选具有丰富专业知识和实践经验的专家学者及实务工作者，在经济发展、项目谋划、难题破解、手续攻坚等应用端为莲湖区提出决策咨询和实践支持，切实将专家顾问的个体智慧凝聚成科学决策的集体智慧，为区委区政府重点工作提供助力，为重点领域寻求突破，为重点项目保驾护航，加快建设“丝路新风烟火色 活力幸福新莲湖”，奋力谱写中心城区高质量发展新篇章。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莲湖区发展和改革委员会委托第三方提供专家服务项目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标的名称：莲湖区发展和改革委员会委托第三方提供专家服务项目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b/>
                <w:color w:val="000000"/>
              </w:rPr>
              <w:t>一、项目概况</w:t>
            </w:r>
          </w:p>
          <w:p>
            <w:pPr>
              <w:pStyle w:val="null3"/>
              <w:ind w:firstLine="480"/>
              <w:jc w:val="both"/>
            </w:pPr>
            <w:r>
              <w:rPr>
                <w:rFonts w:ascii="仿宋_GB2312" w:hAnsi="仿宋_GB2312" w:cs="仿宋_GB2312" w:eastAsia="仿宋_GB2312"/>
                <w:sz w:val="24"/>
                <w:color w:val="000000"/>
              </w:rPr>
              <w:t>为全面贯彻党的二十届二中、三中全会精神，深入贯彻落实总书记来陕考察重要讲话重要指示精神，坚持人才在全区高质量发展全局中的核心地位，围绕经济社会发展重大课题，更好地搭建高端才智与区委、区政府的沟通平台，通过委托第三方机构提供专家服务，聚焦整合资源，拓展交流广度，遴选具有丰富专业知识和实践经验的专家学者及实务工作者，在经济发展、项目谋划、难题破解、手续攻坚等应用端为莲湖区提出决策咨询和实践支持，切实将专家顾问的个体智慧凝聚成科学决策的集体智慧，为区委区政府重点工作提供助力，为重点领域寻求突破，为重点项目保驾护航，加快建设“丝路新风烟火色 活力幸福新莲湖”，奋力谱写中心城区高质量发展新篇章。</w:t>
            </w:r>
          </w:p>
          <w:p>
            <w:pPr>
              <w:pStyle w:val="null3"/>
              <w:ind w:firstLine="480"/>
              <w:jc w:val="both"/>
            </w:pPr>
            <w:r>
              <w:rPr>
                <w:rFonts w:ascii="仿宋_GB2312" w:hAnsi="仿宋_GB2312" w:cs="仿宋_GB2312" w:eastAsia="仿宋_GB2312"/>
                <w:sz w:val="24"/>
                <w:color w:val="000000"/>
              </w:rPr>
              <w:t>二、</w:t>
            </w:r>
            <w:r>
              <w:rPr>
                <w:rFonts w:ascii="仿宋_GB2312" w:hAnsi="仿宋_GB2312" w:cs="仿宋_GB2312" w:eastAsia="仿宋_GB2312"/>
                <w:sz w:val="24"/>
                <w:b/>
                <w:color w:val="000000"/>
              </w:rPr>
              <w:t>服务内容</w:t>
            </w:r>
          </w:p>
          <w:p>
            <w:pPr>
              <w:pStyle w:val="null3"/>
              <w:ind w:firstLine="480"/>
              <w:jc w:val="both"/>
            </w:pPr>
            <w:r>
              <w:rPr>
                <w:rFonts w:ascii="仿宋_GB2312" w:hAnsi="仿宋_GB2312" w:cs="仿宋_GB2312" w:eastAsia="仿宋_GB2312"/>
                <w:sz w:val="24"/>
                <w:color w:val="000000"/>
              </w:rPr>
              <w:t>围绕政智对口联系、项目管理支持、矛盾纠纷破解、手续办理攻关、经济运行研判、新闻宣传推广、产业创新发展、其他相关领域8个具体领域，建立专家库，配合莲湖区相关区级部门（街办、开发区等），做好重点工作的咨询服务。具体如下：</w:t>
            </w:r>
          </w:p>
          <w:p>
            <w:pPr>
              <w:pStyle w:val="null3"/>
              <w:ind w:firstLine="480"/>
              <w:jc w:val="both"/>
            </w:pPr>
            <w:r>
              <w:rPr>
                <w:rFonts w:ascii="仿宋_GB2312" w:hAnsi="仿宋_GB2312" w:cs="仿宋_GB2312" w:eastAsia="仿宋_GB2312"/>
                <w:sz w:val="24"/>
                <w:color w:val="000000"/>
              </w:rPr>
              <w:t>（一）政智对口联系。实行智库专家与党政部门双向选择，建立专家对口联系党政部门、各业务局室工作机制，组织专家参与党政部门的工作务虚会、业务推进会、专题座谈会等各类研讨会议，提供实时政策咨询服务。</w:t>
            </w:r>
          </w:p>
          <w:p>
            <w:pPr>
              <w:pStyle w:val="null3"/>
              <w:ind w:firstLine="480"/>
              <w:jc w:val="both"/>
            </w:pPr>
            <w:r>
              <w:rPr>
                <w:rFonts w:ascii="仿宋_GB2312" w:hAnsi="仿宋_GB2312" w:cs="仿宋_GB2312" w:eastAsia="仿宋_GB2312"/>
                <w:sz w:val="24"/>
                <w:color w:val="000000"/>
              </w:rPr>
              <w:t>（二）项目管理支持。邀请智库专家服务党政各部门重大项目谋划论证、策划包装、宣传推介、资金争取、项目落地等环节，参与项目全生命周期管理，提供全周期服务，及时协调解决开工、建设、竣工、运营等过程中存在的问题，并做好风险预警，提高落地效率。</w:t>
            </w:r>
          </w:p>
          <w:p>
            <w:pPr>
              <w:pStyle w:val="null3"/>
              <w:ind w:firstLine="480"/>
              <w:jc w:val="both"/>
            </w:pPr>
            <w:r>
              <w:rPr>
                <w:rFonts w:ascii="仿宋_GB2312" w:hAnsi="仿宋_GB2312" w:cs="仿宋_GB2312" w:eastAsia="仿宋_GB2312"/>
                <w:sz w:val="24"/>
                <w:color w:val="000000"/>
              </w:rPr>
              <w:t>（三）矛盾纠纷破解。在区级党政部门统筹下，研判涉稳重点领域、重大群体性事件和个人极端事件风险，根据决策一线的需求，有针对性地组织专家团队参与信访难案积案化解工作，定期对潜在矛盾纠纷集中会诊把脉，提出切实可行的对策建议，并赶赴前端加以化解。</w:t>
            </w:r>
          </w:p>
          <w:p>
            <w:pPr>
              <w:pStyle w:val="null3"/>
              <w:ind w:firstLine="480"/>
              <w:jc w:val="both"/>
            </w:pPr>
            <w:r>
              <w:rPr>
                <w:rFonts w:ascii="仿宋_GB2312" w:hAnsi="仿宋_GB2312" w:cs="仿宋_GB2312" w:eastAsia="仿宋_GB2312"/>
                <w:sz w:val="24"/>
                <w:color w:val="000000"/>
              </w:rPr>
              <w:t>（四）手续办理攻关。及时掌握党政部门手续办理等难点工作，组织人脉丰富、业务能力突出的智库专家协调解决，紧盯立项、设计、许可、规划、文物、环评、施工、专项债等关键环节，实施项目审批靠前代办服务，并针对特定复杂事务研究对策、打通堵点，最大限度化解重大项目审批服务中的难题，推动项目轻装上阵。</w:t>
            </w:r>
          </w:p>
          <w:p>
            <w:pPr>
              <w:pStyle w:val="null3"/>
              <w:ind w:firstLine="480"/>
              <w:jc w:val="both"/>
            </w:pPr>
            <w:r>
              <w:rPr>
                <w:rFonts w:ascii="仿宋_GB2312" w:hAnsi="仿宋_GB2312" w:cs="仿宋_GB2312" w:eastAsia="仿宋_GB2312"/>
                <w:sz w:val="24"/>
                <w:color w:val="000000"/>
              </w:rPr>
              <w:t>（五）经济运行研判。邀请专家长期对我区经济运行中的新情况、新问题跟踪研究，作出预警研判，提供对策建议。围绕重大决策实施和经济运行出现的突出问题、区委区政府关注的重大事项、重点领域进行深入调研，摸清实情、把握进展、找到问题、提出建议，提供多方案比选研究及咨询参考意见。</w:t>
            </w:r>
          </w:p>
          <w:p>
            <w:pPr>
              <w:pStyle w:val="null3"/>
              <w:ind w:firstLine="480"/>
              <w:jc w:val="both"/>
            </w:pPr>
            <w:r>
              <w:rPr>
                <w:rFonts w:ascii="仿宋_GB2312" w:hAnsi="仿宋_GB2312" w:cs="仿宋_GB2312" w:eastAsia="仿宋_GB2312"/>
                <w:sz w:val="24"/>
                <w:color w:val="000000"/>
              </w:rPr>
              <w:t>（六）新闻宣传推广。对辖区重点、亮点工作进行深入宣传推介，有效提升辖区知名度和影响力，积极服务全区招商引资等领域工作。</w:t>
            </w:r>
          </w:p>
          <w:p>
            <w:pPr>
              <w:pStyle w:val="null3"/>
              <w:ind w:firstLine="480"/>
              <w:jc w:val="both"/>
            </w:pPr>
            <w:r>
              <w:rPr>
                <w:rFonts w:ascii="仿宋_GB2312" w:hAnsi="仿宋_GB2312" w:cs="仿宋_GB2312" w:eastAsia="仿宋_GB2312"/>
                <w:sz w:val="24"/>
                <w:color w:val="000000"/>
              </w:rPr>
              <w:t>（七）产业创新发展。组织专家聚焦区域数字经济，关注数字产业化和产业数字化等核心产业研究方向，为产业布局规划、新质生产力形成等方面提供咨询指导和具体解决方案。</w:t>
            </w:r>
          </w:p>
          <w:p>
            <w:pPr>
              <w:pStyle w:val="null3"/>
              <w:ind w:firstLine="480"/>
              <w:jc w:val="both"/>
            </w:pPr>
            <w:r>
              <w:rPr>
                <w:rFonts w:ascii="仿宋_GB2312" w:hAnsi="仿宋_GB2312" w:cs="仿宋_GB2312" w:eastAsia="仿宋_GB2312"/>
                <w:sz w:val="24"/>
                <w:color w:val="000000"/>
              </w:rPr>
              <w:t>（八）其他相关领域。除以上领域外，可根据其他业务需求委托专家智库提供相关支持。</w:t>
            </w:r>
          </w:p>
          <w:p>
            <w:pPr>
              <w:pStyle w:val="null3"/>
              <w:ind w:firstLine="196"/>
              <w:jc w:val="both"/>
            </w:pPr>
            <w:r>
              <w:rPr>
                <w:rFonts w:ascii="仿宋_GB2312" w:hAnsi="仿宋_GB2312" w:cs="仿宋_GB2312" w:eastAsia="仿宋_GB2312"/>
                <w:sz w:val="24"/>
                <w:b/>
                <w:color w:val="000000"/>
              </w:rPr>
              <w:t>三、技术要求</w:t>
            </w:r>
          </w:p>
          <w:p>
            <w:pPr>
              <w:pStyle w:val="null3"/>
              <w:ind w:firstLine="480"/>
              <w:jc w:val="both"/>
            </w:pPr>
            <w:r>
              <w:rPr>
                <w:rFonts w:ascii="仿宋_GB2312" w:hAnsi="仿宋_GB2312" w:cs="仿宋_GB2312" w:eastAsia="仿宋_GB2312"/>
                <w:sz w:val="24"/>
                <w:color w:val="000000"/>
              </w:rPr>
              <w:t>（一）专业上根据智库多领域多学科综合交叉特征，顺应政产学研深度融合趋势，大力招揽储备各领域专家，尤其要注重引进具有政策研究、提供信息、实操及把关审核能力的人员。</w:t>
            </w:r>
          </w:p>
          <w:p>
            <w:pPr>
              <w:pStyle w:val="null3"/>
              <w:ind w:firstLine="480"/>
              <w:jc w:val="both"/>
            </w:pPr>
            <w:r>
              <w:rPr>
                <w:rFonts w:ascii="仿宋_GB2312" w:hAnsi="仿宋_GB2312" w:cs="仿宋_GB2312" w:eastAsia="仿宋_GB2312"/>
                <w:sz w:val="24"/>
                <w:color w:val="000000"/>
              </w:rPr>
              <w:t>（二）身份上注重延揽专家型学者、新闻媒体专家、行业领军人才、智库学专家等，适应决策咨询服务的多元化、综合性需求。</w:t>
            </w:r>
          </w:p>
          <w:p>
            <w:pPr>
              <w:pStyle w:val="null3"/>
              <w:ind w:firstLine="480"/>
              <w:jc w:val="both"/>
            </w:pPr>
            <w:r>
              <w:rPr>
                <w:rFonts w:ascii="仿宋_GB2312" w:hAnsi="仿宋_GB2312" w:cs="仿宋_GB2312" w:eastAsia="仿宋_GB2312"/>
                <w:sz w:val="24"/>
                <w:color w:val="000000"/>
              </w:rPr>
              <w:t>（三）地域上要覆盖全区、放眼全市，把其他省市区及本地籍在外知名专家学者、社会贤达人士纳入进来，基层和一线人员也应占一定比例。有条件时还可探索引入国外专家资源，构建宽广的智力支持合作平台。</w:t>
            </w:r>
          </w:p>
          <w:p>
            <w:pPr>
              <w:pStyle w:val="null3"/>
              <w:ind w:firstLine="480"/>
              <w:jc w:val="both"/>
            </w:pPr>
            <w:r>
              <w:rPr>
                <w:rFonts w:ascii="仿宋_GB2312" w:hAnsi="仿宋_GB2312" w:cs="仿宋_GB2312" w:eastAsia="仿宋_GB2312"/>
                <w:sz w:val="24"/>
                <w:color w:val="000000"/>
              </w:rPr>
              <w:t>（四）组合上根据专家来源，采取“固定+机动”相结合的方式搭建专家团队。一方面按专业和领域适度分类，在智库内部按照职能下设若干个专业功能组；另一方面根据咨询事项具体情况，相机组建确定专家人选，实行统一组织、统一管理、统一服务、统一联系。</w:t>
            </w:r>
          </w:p>
          <w:p>
            <w:pPr>
              <w:pStyle w:val="null3"/>
              <w:ind w:firstLine="480"/>
              <w:jc w:val="both"/>
            </w:pPr>
            <w:r>
              <w:rPr>
                <w:rFonts w:ascii="仿宋_GB2312" w:hAnsi="仿宋_GB2312" w:cs="仿宋_GB2312" w:eastAsia="仿宋_GB2312"/>
                <w:sz w:val="24"/>
                <w:color w:val="000000"/>
              </w:rPr>
              <w:t>（五）运营上要坚持结果导向，把成果落地作为发挥专家作用的有效载体，注重目标达成，关注效率效益，借助优势资源和高水平团队，促进专家智库支持成果快速、精准、高质量转化，在服务和融入莲湖新发展格局上展现新作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本合同的支付方式为分期支付。第一笔费用的性质为预付款，支付条件为：合同签订生效后 10个工作日内，乙方按照合同总金额的30%开具正式发票，甲方收到发票后30个工作日内支付至乙方指定收款账户。剩余的 70%合同金额，双方按照实际发生的服务费、每季度据实结算。第一笔费用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关于每季度费用支付。在每季度结束日（每季度的结束日指2025年3月31日、2025年6月30 日、2025年9月30日、2025年12月31日）后的5个 工作日内，甲乙双方对本季度实际发生的服务费进行结算。支付方式是 先抵扣第一笔预付款，如抵扣后还有不足部分，甲方对不足部分进行支付，每次支付前，乙方先开具正式发票，甲方收到发票 后30个工作日内支付至乙方指定账户。 当季度支付金额累计达到合同总金额的70%时，乙方不得要求甲方对超过合同总金额 70%部分进行支付，甲方有权拒绝乙方的支付要求并不视为违约。 例1:若一季度发生合同总金额40%的服务费用，则先抵扣 第一笔费用后，再支付合同总金额的10%。即一季度末，达到付款条件起30日内，支付合同总金额的10%。例2:若一、二、 三季度累计发生合同总金额30%的服务费用、四季度发生合同总金额70%的服务费用，则一、二、三季度服务费用均由第一 笔费用抵扣、四季度支付合同总金额的70%，即四季度末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（一）甲乙双方应当遵守本合同并执行合同中的各项约定，保证本合同的正常履 行。 （二）如因乙方工作人员在履行职责过程中的的疏忽、失职、过错等故 意或者过失原因给甲方造成损失或侵害，包括但 不限于甲方本身的财产损 失、由此而导致的甲方对任何第三方的法律责任等，乙方对此均应承担全部 的赔偿责任。 （三）乙 方在履约期间的服务质量标准及要求不能满足合同约定，甲方 应当将乙方违约的情况以及拟采取的措施以书面形式报政府采 购监管部门， 根据政府采购监管部门的处理意见，甲方有权依据《中华人民共和国民法典》 及合同有关条款终止合同，并要 求乙方承担违约责任。按《中华人民共和国民法典》中的相关条款和本合同的约定执行。未按合同或投标文件要求提供服务质 量不能满足甲方技术要求，甲方有权终止合同，甚至对乙方违约行为进行追究。合同执行中发生争议的，当事人双方应协商解决，协商达不成一致时，双方同意向西安仲裁委员会申请仲裁。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供应商报价不允许超过最高限价。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关于财务会计制度的证明材料｛注：1.2023年度完整的财务报表审计报告（包括但不限于审 计报告、资产负债表、利润表、现金流量表、所有者权益变动表及财务报表附注等内容，成立时间至提交响应文件截止时间不足一年的可提供成立后任意时段的资产负债表）；2.提交响 应文件截止时间前三个月内其基本账户开户银行出具的资信证明（附基本存款账户信息）。｝以上两种方式供应商任选其一进行提供，供应商需在项目电子化交易系统中按要求上传相应证明文件并进行电子签章。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参与的供应商（联合体）全部为符合政策要求的中型企业或小型、微型企业或监狱企业或残疾人福利性单位。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营业执照、事业单位法人证书、自然人身份证明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供应商为具有独立承担民事责任能力的法人或其他组织或自然人，并提供法人或者其他组织合法有 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法人身份证复印件或法定代表人授权书及被授权人身份证复印件</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 印件，并与营业执照上信息一致。法定代表人授权他人参加磋商的，须出具法定代表人授权书及被 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财务会计制度的证明材料</w:t>
            </w:r>
          </w:p>
        </w:tc>
        <w:tc>
          <w:tcPr>
            <w:tcW w:type="dxa" w:w="3322"/>
          </w:tcPr>
          <w:p>
            <w:pPr>
              <w:pStyle w:val="null3"/>
            </w:pPr>
            <w:r>
              <w:rPr>
                <w:rFonts w:ascii="仿宋_GB2312" w:hAnsi="仿宋_GB2312" w:cs="仿宋_GB2312" w:eastAsia="仿宋_GB2312"/>
              </w:rPr>
              <w:t>关于财务会计制度的证明材料｛注：1.2023年度完整的财务报表审计报告（包括但不限于审计报告、资产负债表、利润表、现金流量表、所有者权益变动表及财务报表附注等内容，成立时间至提交响应文件截止时间不足一年的可提供成立后任意时段的资产负债表）；2.提交响应文件截止时间前 三个月内其基本账户开户银行出具的资信证明（附基本存款账户信息）。｝以上两种方式供应商任选其一进行提供，供应商需在项目电子化交易系统中按要求上传相应证明文件并进行电子签章。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提供2024年7月至今任意时段已缴纳完税凭证或税务机关开具的完税证明（任意税种）；依法免税 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提供2024年7月至今任意时段已缴纳的社会保障资金缴存单据或社保机构开具的社会保险参保缴费 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采购人或代理机构根据《关于在政府采购活动中查询及使用信用记录有关问题的通知》（财库〔20 16〕125号）的要求，通过“信用中国”网站（www.creditchina.gov.cn）、“中国政府采购网”网站（www.ccgp.gov.cn）等渠道，查询供应商在响应文件提交截止时间前的信用记录并保存信用记录结果网页截图，拒绝列入失信被执行人名单、重大税收违法失信主体、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供应商应提供《非联合体投标声明》，视为独立投标。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响应文件上法定代表人或其委托代理人的签字齐全并加盖单位章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标的清单 报价表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应满足磋商文件规定的服务期限</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评审得分相同的，按照最后报价由低到高的顺序推荐。评审得分且最后报价相同的，按照评审细则及要求的顺序推荐。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专职人员配备设置合理，专职人员配备齐全、分工明确、职责清晰得10-15分；专职人员配备设置较合理，专职人员配备齐全、分工及岗位职责较清晰得5-10分；专职人员配备设置基本合理，专职人员分工及岗位职责不清晰得0-5分。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对本项目背景的解读与理解到位程度； 1.内容详尽、理解得当得10-15分； 2.内容全面、理解基本得当得5-10分； 3.内容简单得0-5分。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针对本项目有完善的实施方案，表述清晰、完整、严谨、合理、符合规范要求 1.方案完整实用，规范性和可操作性强，得10-15分；2.方案基本完整实用，规范性和可操作性一般，得5-10分;3.方案不完整不实用，规范性和可操作性差，得0-5分。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供应商对本项目提出的建设性意见与建议全面、具体、合理，可操作性 1.内容详尽、可行性强得10-15分；2.内容全面、具有一定的可行性得5-10分; 3.内容简单、可行性较差差，得0-5分。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1、供应商针对本项目的进度要求、时限要求等做出承诺，承诺明确，服务时限合理 1）内容详细完整，条理清晰得5-8分；2).内容基本完整得3-5分； 3).内容简单粗略0-3分。未提供不得分。 2、供应商针对本项目的服务等相关内容做出承诺 1).内容详细完整，条理清晰得4-7分；2).内容基本完整得2-4分； 3).内容简单粗略0-2分。未提供不得分。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提供2021年1月1日至今类似服务业绩（以合同签订日期为准），提供加盖供应商公章的合同关键页证明材料。每提供一个业绩得3分，满分15分。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采用低价优先法计算，即满足磋商文件要求且最终报价最低的供应商的价格为评标基准价,其价格分为满分。 磋商报价得分=(评标基准价/磋商最终报价)×价格权值×100%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