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版本号：PLRH2025-GP-017F20250403001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环卫一体化项目咨询项目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PLRH2025-GP-017F</w:t>
      </w:r>
      <w:r>
        <w:br/>
      </w:r>
      <w:r>
        <w:br/>
      </w:r>
      <w:r>
        <w:br/>
      </w:r>
    </w:p>
    <w:p>
      <w:pPr>
        <w:pStyle w:val="null3"/>
        <w:jc w:val="center"/>
        <w:outlineLvl w:val="2"/>
      </w:pPr>
      <w:r>
        <w:rPr>
          <w:rFonts w:ascii="仿宋_GB2312" w:hAnsi="仿宋_GB2312" w:cs="仿宋_GB2312" w:eastAsia="仿宋_GB2312"/>
          <w:sz w:val="28"/>
          <w:b/>
        </w:rPr>
        <w:t>西安市莲湖区城市管理和综合执法局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西安市莲湖区城市管理和综合执法局</w:t>
      </w:r>
      <w:r>
        <w:rPr>
          <w:rFonts w:ascii="仿宋_GB2312" w:hAnsi="仿宋_GB2312" w:cs="仿宋_GB2312" w:eastAsia="仿宋_GB2312"/>
        </w:rPr>
        <w:t>委托，拟对</w:t>
      </w:r>
      <w:r>
        <w:rPr>
          <w:rFonts w:ascii="仿宋_GB2312" w:hAnsi="仿宋_GB2312" w:cs="仿宋_GB2312" w:eastAsia="仿宋_GB2312"/>
        </w:rPr>
        <w:t>环卫一体化项目咨询项目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PLRH2025-GP-017F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环卫一体化项目咨询项目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为推进环卫一体化工作，按照项目实施要求，现阶段需确定一家专业的第三方项目咨询公司开展编制环卫一体化项目合作协议等相关工作。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采购包1（环卫一体化项目咨询项目）：属于专门面向中小企业采购。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西安市莲湖区红埠街33号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029-87332933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西安市莲湖区城市管理和综合执法局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为推进环卫一体化工作，按照项目实施要求，现阶段需确定一家专业的第三方项目咨询公司开展编制环卫一体化项目合作协议等相关工作。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环卫一体化项目咨询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标的名称：环卫一体化项目咨询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rPr>
              <w:t>（一）编制项目合作协议</w:t>
            </w:r>
          </w:p>
          <w:p>
            <w:pPr>
              <w:pStyle w:val="null3"/>
            </w:pPr>
            <w:r>
              <w:rPr>
                <w:rFonts w:ascii="仿宋_GB2312" w:hAnsi="仿宋_GB2312" w:cs="仿宋_GB2312" w:eastAsia="仿宋_GB2312"/>
              </w:rPr>
              <w:t>根据环卫一体化工作实施方案，完成社会化合作企业采购程序，编制项目合作协议，明确各方权责义务、合作边界、违约措施等相关内容。</w:t>
            </w:r>
          </w:p>
          <w:p>
            <w:pPr>
              <w:pStyle w:val="null3"/>
            </w:pPr>
            <w:r>
              <w:rPr>
                <w:rFonts w:ascii="仿宋_GB2312" w:hAnsi="仿宋_GB2312" w:cs="仿宋_GB2312" w:eastAsia="仿宋_GB2312"/>
              </w:rPr>
              <w:t>（二）合同谈判及签约</w:t>
            </w:r>
          </w:p>
          <w:p>
            <w:pPr>
              <w:pStyle w:val="null3"/>
            </w:pPr>
            <w:r>
              <w:rPr>
                <w:rFonts w:ascii="仿宋_GB2312" w:hAnsi="仿宋_GB2312" w:cs="仿宋_GB2312" w:eastAsia="仿宋_GB2312"/>
              </w:rPr>
              <w:t>协助与社会投资人就拟签订的项目合作协议等文件进行谈判，促成贵方与中标人签署项目合作协议。</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jc w:val="both"/>
            </w:pPr>
            <w:r>
              <w:rPr>
                <w:rFonts w:ascii="仿宋_GB2312" w:hAnsi="仿宋_GB2312" w:cs="仿宋_GB2312" w:eastAsia="仿宋_GB2312"/>
              </w:rPr>
              <w:t>1.进度要求</w:t>
            </w:r>
          </w:p>
          <w:p>
            <w:pPr>
              <w:pStyle w:val="null3"/>
            </w:pPr>
            <w:r>
              <w:rPr>
                <w:rFonts w:ascii="仿宋_GB2312" w:hAnsi="仿宋_GB2312" w:cs="仿宋_GB2312" w:eastAsia="仿宋_GB2312"/>
              </w:rPr>
              <w:t>安排项目进度表，加快推进实施。</w:t>
            </w:r>
          </w:p>
          <w:p>
            <w:pPr>
              <w:pStyle w:val="null3"/>
            </w:pPr>
            <w:r>
              <w:rPr>
                <w:rFonts w:ascii="仿宋_GB2312" w:hAnsi="仿宋_GB2312" w:cs="仿宋_GB2312" w:eastAsia="仿宋_GB2312"/>
              </w:rPr>
              <w:t>2.成果交付要求</w:t>
            </w:r>
          </w:p>
          <w:p>
            <w:pPr>
              <w:pStyle w:val="null3"/>
            </w:pPr>
            <w:r>
              <w:rPr>
                <w:rFonts w:ascii="仿宋_GB2312" w:hAnsi="仿宋_GB2312" w:cs="仿宋_GB2312" w:eastAsia="仿宋_GB2312"/>
              </w:rPr>
              <w:t>提交的书面项目合作协议等详实、全面，操作性强。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rPr>
              <w:t>1.实施过程中，结合实际做好相关工作，完成好项目合作协议、谈判备忘录。</w:t>
            </w:r>
          </w:p>
          <w:p>
            <w:pPr>
              <w:pStyle w:val="null3"/>
            </w:pPr>
            <w:r>
              <w:rPr>
                <w:rFonts w:ascii="仿宋_GB2312" w:hAnsi="仿宋_GB2312" w:cs="仿宋_GB2312" w:eastAsia="仿宋_GB2312"/>
              </w:rPr>
              <w:t>2.采购人其他服务要求。</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2.服务期：自合同签订之日起至采购人与中标人完成项目合作协议签署。</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4.付款方式：①合同签订后10个工作日，支付合同价款的50%。</w:t>
            </w:r>
          </w:p>
          <w:p>
            <w:pPr>
              <w:pStyle w:val="null3"/>
            </w:pPr>
            <w:r>
              <w:rPr>
                <w:rFonts w:ascii="仿宋_GB2312" w:hAnsi="仿宋_GB2312" w:cs="仿宋_GB2312" w:eastAsia="仿宋_GB2312"/>
              </w:rPr>
              <w:t>②完成最终项目合作协议签订，并实现中标人顺利进场，支付剩余合同价款。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自合同签订之日起至采购人与中标人完成项目合作协议签署。</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合同签订后10个工作日，支付合同价款的50%。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完成最终项目合作协议签订，并实现中标人顺利进场，支付剩余合同价款。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违约责任：如有违反合同约定的义务造成重大损失，区城管和综合执法局有权解除合同。所造成的损失由供应商承担，否则，可向区城管和综合执法局所在地有管辖权人民法院起诉。 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2.本项目合同包1采购标的所属行业为：租赁和商务服务业；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8月至今已缴纳的至少一个月的纳税证明或完税证明（任意税种），依法免税的单位应提供相关证明材料；3.提供2024年8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供应商参加政府采购活动承诺书.docx 中小企业声明函 残疾人福利性单位声明函 标的清单 报价表 磋商方案说明书.docx 响应函 资格证明文件.docx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磋商方案说明书.docx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对本次项目背景、服务内容、服务目标，服务思路等了解、现状理解透彻及对项目内容情况理解有详细分析得7-10分。 对本次项目背景、服务内容、服务目标，服务思路等了解基本正确、现状理解较为简单及对项目内容情况分析不够详细得4-7分（含7分）； 对本次项目背景、服务内容、服务目标，服务思路等了解较为简单、现状不够理解及对项目内容情况分析欠缺得1-4分（含4分）。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提供服务方案的合理、完整及可执行性高得7-10分； 提供服务方案的较为合理、完整及可执行性一般得4-7分（含7分）； 提供服务方案的合理性欠缺、不完整及可执行性低得1-4分（含4分）。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有详细的进度计划和保证措施，且有针对性和可行性的保障措施得7-10分； 进度控制目标较明确，且针对性和可行性较强得4-7分（含7分）； 进度控制目标不明确得1-4分（含4分）。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组织机构设置</w:t>
            </w:r>
          </w:p>
        </w:tc>
        <w:tc>
          <w:tcPr>
            <w:tcW w:type="dxa" w:w="2492"/>
          </w:tcPr>
          <w:p>
            <w:pPr>
              <w:pStyle w:val="null3"/>
            </w:pPr>
            <w:r>
              <w:rPr>
                <w:rFonts w:ascii="仿宋_GB2312" w:hAnsi="仿宋_GB2312" w:cs="仿宋_GB2312" w:eastAsia="仿宋_GB2312"/>
              </w:rPr>
              <w:t>组织机构设置合理，管理人员及技术人员配备数量充足、人员职责明确、分工清晰合理、相关项目实施经验丰富，得7-10分； 组织机构设置较为合理，管理人员及技术人员配备数量较充足、职责较明确、分工较清晰合理、相关项目实施经验较丰富，得4-7分（含7分）； 组织机构设置一般，管理人员及技术人员配备数量不够充足、职责不够明确、分工不够清晰合理，不具备相关项目实施经验，得1-4分（含4分）；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具有完善的保密措施和保密方案，从管理、人员、技术、成果文件等各个方面，全面保证采购人数据及相关信息不泄密，保密承诺详细可行得3-6分；保密方案简略，可行性较差得1-3分（含3分）。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针对本项目的服务承诺，包括但不限于服务品质、人员到位情况、后期配套服务等。 各投标人服务承诺，承诺事项具体、可行、可操作性强得7-10分； 承诺事项较具体可行，可操作性较强得4-7分（含7分）； 承诺事项较简略，可操作性较差得1-4分（含4分）。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供应商2021年01月01日至今类似项目业绩，每提供1份计2分，最高得8分； 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详见附件：西安市莲湖区城市管理和综合执法局环卫一体化项目咨询项目采购合同.docx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