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版本号：SXWXZBDL2025-ZC-CS100320250514001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北关街道购买安保服务项目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SXWXZBDL2025-ZC-CS1003</w:t>
      </w:r>
      <w:r>
        <w:br/>
      </w:r>
      <w:r>
        <w:br/>
      </w:r>
      <w:r>
        <w:br/>
      </w:r>
    </w:p>
    <w:p>
      <w:pPr>
        <w:pStyle w:val="null3"/>
        <w:jc w:val="center"/>
        <w:outlineLvl w:val="2"/>
      </w:pPr>
      <w:r>
        <w:rPr>
          <w:rFonts w:ascii="仿宋_GB2312" w:hAnsi="仿宋_GB2312" w:cs="仿宋_GB2312" w:eastAsia="仿宋_GB2312"/>
          <w:sz w:val="28"/>
          <w:b/>
        </w:rPr>
        <w:t>西安市莲湖区北关街道办事处</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西安市莲湖区北关街道办事处</w:t>
      </w:r>
      <w:r>
        <w:rPr>
          <w:rFonts w:ascii="仿宋_GB2312" w:hAnsi="仿宋_GB2312" w:cs="仿宋_GB2312" w:eastAsia="仿宋_GB2312"/>
        </w:rPr>
        <w:t>委托，拟对</w:t>
      </w:r>
      <w:r>
        <w:rPr>
          <w:rFonts w:ascii="仿宋_GB2312" w:hAnsi="仿宋_GB2312" w:cs="仿宋_GB2312" w:eastAsia="仿宋_GB2312"/>
        </w:rPr>
        <w:t>北关街道购买安保服务项目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北关街道购买安保服务项目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北关街道辖区的城市管理水平，进一步做好市容管控、信访维稳、应急处置等工作，营造平安稳定的辖区环境。本项目旨在通过购买第三方安保服务，整合社会资源，构建全方位、多层次的社会治理体系，有效预防和应对治安事件、突发事件，切实提高基层治理效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采购包1（北关街道购买安保服务项目）：属于专门面向中小企业采购。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合法有效的营业执照/事业单位法人证书/专业服务机构执业许可证/民办非企业单位登记证书等相关证明，自然人参与的提供其身份证明：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提供2023或2024年度经审计的完整财务报告（成立时间至提交投标文件截止时间不足一年的可提供成立后任意时段的资产负债表）或磋商截止时间前六个月内其基本户开户银行出具的资信证明（附开户许可证或开户证明）；：提供2023或2024年度经审计的完整财务报告（成立时间至提交投标文件截止时间不足一年的可提供成立后任意时段的资产负债表）或磋商截止时间前六个月内其基本户开户银行出具的资信证明（附开户许可证或开户证明）；</w:t>
      </w:r>
    </w:p>
    <w:p>
      <w:pPr>
        <w:pStyle w:val="null3"/>
      </w:pPr>
      <w:r>
        <w:rPr>
          <w:rFonts w:ascii="仿宋_GB2312" w:hAnsi="仿宋_GB2312" w:cs="仿宋_GB2312" w:eastAsia="仿宋_GB2312"/>
        </w:rPr>
        <w:t>3、提供具有履行合同所必需的设备和专业技术能力的承诺：提供具有履行合同所必需的设备和专业技术能力的承诺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4、参加本次政府采购活动前三年内在经营活动中没有重大违法记录的书面声明：参加本次政府采购活动前三年内在经营活动中没有重大违法记录的书面声明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5、提供磋商截止日前六个月内已缴纳的至少一个月的纳税证明或完税证明（增值税、印花税、城市维护建设费、企业所得税等一 种或多种税种）依法免税的单位应提供相关证明材料：提供磋商截止日前六个月内已缴纳的至少一个月的纳税证明或完税证明（增值税、印花税、城市维护建设费、企业所得税等一 种或多种税种）依法免税的单位应提供相关证明材料</w:t>
      </w:r>
    </w:p>
    <w:p>
      <w:pPr>
        <w:pStyle w:val="null3"/>
      </w:pPr>
      <w:r>
        <w:rPr>
          <w:rFonts w:ascii="仿宋_GB2312" w:hAnsi="仿宋_GB2312" w:cs="仿宋_GB2312" w:eastAsia="仿宋_GB2312"/>
        </w:rPr>
        <w:t>6、提供磋商截止日前六个月内已缴存的至少一个月的社会保障资金缴存单据或社保机构开具的社会保险参保缴费情况证明，依法不需要缴纳社会保障资金的单位应提供相关证明材料：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具备公安部门颁发的《保安服务许可证》资质证书，陕西省外供应商还须出具承诺书（承诺书形式不限），承诺自承接本项目之日起30日内向采购人所在地区的市级人民政府公安机关备案；：具备公安部门颁发的《保安服务许可证》资质证书，陕西省外供应商还须出具承诺书（承诺书形式不限），承诺自承接本项目之日起30日内向采购人所在地区的市级人民政府公安机关备案；供应商需在项目 电子化交易系统中按要求上传相应证明文件并进行电子签章。</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北关正街29号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西安市莲湖区北关街道办事处经办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029-86284852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陕西省西安市莲湖区北关正街35号方兴大厦1幢1单元10402-4-018室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刘万铭 张小娜 董雪 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计取。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西安市莲湖区北关街道办事处</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西安市莲湖区北关街道办事处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 采购人每季度根据服务内容、质量标准、人员要求、考核办法及服务商承诺细则对所提供的安保服务进行一次验收。 （二）服务期满后，采购人对本项目的实施情况进行验收，确认服务标准和服务方式是否达到采购要求（必要时采购人可委托技术专家对项目进行验收）。验收合格后，填写政府采购项目验收单（一式伍份）作为对项目的最终认可。 （三）验收依据 1、磋商文件、响应文件； 2、本合同及附件文本；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联系人：刘万铭、张小娜、董雪、李玉萍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北关街道辖区的城市管理水平，进一步做好市容管控、信访维稳、应急处置等工作，营造平安稳定的辖区环境。本项目旨在通过购买第三方安保服务，整合社会资源，构建全方位、多层次的社会治理体系，有效预防和应对治安事件、突发事件，切实提高基层治理效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北关街道安保服务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标的名称：北关街道安保服务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本项目服务内容主要包括：工作重点覆盖辖区内城管执法中队安保、机关单位门卫执勤安保、突发事件应急处理。安保人员常态化巡逻值守、重点区域监控巡查、安全隐患排查整治、突发事件应急处置、秩序维护等，强化风险预警与快速响应能力，为居民及企事业机关单位提供安全有序的生活与经营环境。</w:t>
            </w:r>
          </w:p>
          <w:p>
            <w:pPr>
              <w:pStyle w:val="null3"/>
              <w:spacing w:before="105" w:after="105"/>
              <w:jc w:val="left"/>
            </w:pPr>
            <w:r>
              <w:rPr>
                <w:rFonts w:ascii="仿宋_GB2312" w:hAnsi="仿宋_GB2312" w:cs="仿宋_GB2312" w:eastAsia="仿宋_GB2312"/>
                <w:sz w:val="24"/>
              </w:rPr>
              <w:t>服务商须贯彻执行《治安保卫条例》，预防和减少违法犯罪案件和治安事故的发生。</w:t>
            </w:r>
          </w:p>
          <w:p>
            <w:pPr>
              <w:pStyle w:val="null3"/>
              <w:spacing w:before="105" w:after="105"/>
              <w:jc w:val="left"/>
            </w:pPr>
            <w:r>
              <w:rPr>
                <w:rFonts w:ascii="仿宋_GB2312" w:hAnsi="仿宋_GB2312" w:cs="仿宋_GB2312" w:eastAsia="仿宋_GB2312"/>
                <w:sz w:val="24"/>
              </w:rPr>
              <w:t>（一）治安秩序管理：积极参与、打非治违等专项整治活动；负责市容管控、信访维稳等相关值班值守工作；积极配合做好安全维稳等方面的宣传教育工作。</w:t>
            </w:r>
          </w:p>
          <w:p>
            <w:pPr>
              <w:pStyle w:val="null3"/>
              <w:jc w:val="both"/>
            </w:pPr>
            <w:r>
              <w:rPr>
                <w:rFonts w:ascii="仿宋_GB2312" w:hAnsi="仿宋_GB2312" w:cs="仿宋_GB2312" w:eastAsia="仿宋_GB2312"/>
                <w:sz w:val="21"/>
              </w:rPr>
              <w:t>（二）突发事件应急处理：积极参与突发事件的处置、灾害预防、火灾扑救等紧急救助工作，要做到快速反应，处理及时。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服务要求：</w:t>
            </w:r>
          </w:p>
          <w:p>
            <w:pPr>
              <w:pStyle w:val="null3"/>
              <w:spacing w:before="105" w:after="105"/>
              <w:jc w:val="left"/>
            </w:pPr>
            <w:r>
              <w:rPr>
                <w:rFonts w:ascii="仿宋_GB2312" w:hAnsi="仿宋_GB2312" w:cs="仿宋_GB2312" w:eastAsia="仿宋_GB2312"/>
                <w:sz w:val="24"/>
              </w:rPr>
              <w:t>（一）人员配置要求</w:t>
            </w:r>
          </w:p>
          <w:p>
            <w:pPr>
              <w:pStyle w:val="null3"/>
              <w:spacing w:before="105" w:after="105"/>
              <w:jc w:val="left"/>
            </w:pPr>
            <w:r>
              <w:rPr>
                <w:rFonts w:ascii="仿宋_GB2312" w:hAnsi="仿宋_GB2312" w:cs="仿宋_GB2312" w:eastAsia="仿宋_GB2312"/>
                <w:sz w:val="24"/>
              </w:rPr>
              <w:t>★本项目在岗人员配置不少于10名保安员，所有人员需持有公安机关发放的保安员证或承诺工作人员在上岗之前持有该证。工作时间须符合现行劳动法律法规的规定，节假日岗位数量及位置根据当日具体情况进行增减及调配。</w:t>
            </w:r>
          </w:p>
          <w:p>
            <w:pPr>
              <w:pStyle w:val="null3"/>
              <w:spacing w:before="105" w:after="105"/>
              <w:jc w:val="left"/>
            </w:pPr>
            <w:r>
              <w:rPr>
                <w:rFonts w:ascii="仿宋_GB2312" w:hAnsi="仿宋_GB2312" w:cs="仿宋_GB2312" w:eastAsia="仿宋_GB2312"/>
                <w:sz w:val="24"/>
              </w:rPr>
              <w:t>（二）管理目标要求</w:t>
            </w:r>
          </w:p>
          <w:p>
            <w:pPr>
              <w:pStyle w:val="null3"/>
              <w:spacing w:before="105" w:after="105"/>
              <w:jc w:val="left"/>
            </w:pPr>
            <w:r>
              <w:rPr>
                <w:rFonts w:ascii="仿宋_GB2312" w:hAnsi="仿宋_GB2312" w:cs="仿宋_GB2312" w:eastAsia="仿宋_GB2312"/>
                <w:sz w:val="24"/>
              </w:rPr>
              <w:t>1、严格执勤纪律，保证违章执勤率在0.5％以下，违章处理率为100％；</w:t>
            </w:r>
          </w:p>
          <w:p>
            <w:pPr>
              <w:pStyle w:val="null3"/>
              <w:spacing w:before="105" w:after="105"/>
              <w:jc w:val="left"/>
            </w:pPr>
            <w:r>
              <w:rPr>
                <w:rFonts w:ascii="仿宋_GB2312" w:hAnsi="仿宋_GB2312" w:cs="仿宋_GB2312" w:eastAsia="仿宋_GB2312"/>
                <w:sz w:val="24"/>
              </w:rPr>
              <w:t>2、制定保安管理发展规划，有计划、有检查，建立健全责任范围内安全管理台账。</w:t>
            </w:r>
          </w:p>
          <w:p>
            <w:pPr>
              <w:pStyle w:val="null3"/>
              <w:spacing w:before="105" w:after="105"/>
              <w:jc w:val="left"/>
            </w:pPr>
            <w:r>
              <w:rPr>
                <w:rFonts w:ascii="仿宋_GB2312" w:hAnsi="仿宋_GB2312" w:cs="仿宋_GB2312" w:eastAsia="仿宋_GB2312"/>
                <w:sz w:val="24"/>
              </w:rPr>
              <w:t>（三）现场管理要求</w:t>
            </w:r>
          </w:p>
          <w:p>
            <w:pPr>
              <w:pStyle w:val="null3"/>
              <w:spacing w:before="105" w:after="105"/>
              <w:jc w:val="left"/>
            </w:pPr>
            <w:r>
              <w:rPr>
                <w:rFonts w:ascii="仿宋_GB2312" w:hAnsi="仿宋_GB2312" w:cs="仿宋_GB2312" w:eastAsia="仿宋_GB2312"/>
                <w:sz w:val="24"/>
              </w:rPr>
              <w:t>1、按照岗位安排，保安队实行24小时安全保卫，采取轮班交接的方式进行，确保无漏岗、脱岗、睡岗等失职现象，保证工作时间到岗到位，记录台账完整；</w:t>
            </w:r>
          </w:p>
          <w:p>
            <w:pPr>
              <w:pStyle w:val="null3"/>
              <w:spacing w:before="105" w:after="105"/>
              <w:jc w:val="left"/>
            </w:pPr>
            <w:r>
              <w:rPr>
                <w:rFonts w:ascii="仿宋_GB2312" w:hAnsi="仿宋_GB2312" w:cs="仿宋_GB2312" w:eastAsia="仿宋_GB2312"/>
                <w:sz w:val="24"/>
              </w:rPr>
              <w:t>2、每个月应主动与主管人员共同对安保工作进行检讨总结，听取意见，完善服务工作；</w:t>
            </w:r>
          </w:p>
          <w:p>
            <w:pPr>
              <w:pStyle w:val="null3"/>
              <w:spacing w:before="105" w:after="105"/>
              <w:jc w:val="left"/>
            </w:pPr>
            <w:r>
              <w:rPr>
                <w:rFonts w:ascii="仿宋_GB2312" w:hAnsi="仿宋_GB2312" w:cs="仿宋_GB2312" w:eastAsia="仿宋_GB2312"/>
                <w:sz w:val="24"/>
              </w:rPr>
              <w:t>3、对项目服务人员进行岗前培训及专项指导，待培训合格后方可上岗；</w:t>
            </w:r>
          </w:p>
          <w:p>
            <w:pPr>
              <w:pStyle w:val="null3"/>
              <w:spacing w:before="105" w:after="105"/>
              <w:jc w:val="left"/>
            </w:pPr>
            <w:r>
              <w:rPr>
                <w:rFonts w:ascii="仿宋_GB2312" w:hAnsi="仿宋_GB2312" w:cs="仿宋_GB2312" w:eastAsia="仿宋_GB2312"/>
                <w:sz w:val="24"/>
              </w:rPr>
              <w:t>4、应加强对保安员的在岗培训、监督和管理，确保安全服务的优质高效。切实做好派驻保安员的思想教育、业务培训等日常管理和保安员违纪问题的处理；</w:t>
            </w:r>
          </w:p>
          <w:p>
            <w:pPr>
              <w:pStyle w:val="null3"/>
              <w:spacing w:before="105" w:after="105"/>
              <w:jc w:val="left"/>
            </w:pPr>
            <w:r>
              <w:rPr>
                <w:rFonts w:ascii="仿宋_GB2312" w:hAnsi="仿宋_GB2312" w:cs="仿宋_GB2312" w:eastAsia="仿宋_GB2312"/>
                <w:sz w:val="24"/>
              </w:rPr>
              <w:t>5、发生在执勤区域内的刑事案件、治安案件和灾害事故，及时处理并报告采购人和当地公安机关，采取措施保护发案现场，协助公安机关侦查各类治安刑事案件，依法妥善处理责任范围内的其它突发事件；</w:t>
            </w:r>
          </w:p>
          <w:p>
            <w:pPr>
              <w:pStyle w:val="null3"/>
              <w:spacing w:before="105" w:after="105"/>
              <w:jc w:val="left"/>
            </w:pPr>
            <w:r>
              <w:rPr>
                <w:rFonts w:ascii="仿宋_GB2312" w:hAnsi="仿宋_GB2312" w:cs="仿宋_GB2312" w:eastAsia="仿宋_GB2312"/>
                <w:sz w:val="24"/>
              </w:rPr>
              <w:t>6、落实防火、防盗、防破坏等安全防范措施，发现责任区域内的安全隐患，应及时报告并协助予以处理；</w:t>
            </w:r>
          </w:p>
          <w:p>
            <w:pPr>
              <w:pStyle w:val="null3"/>
              <w:spacing w:before="105" w:after="105"/>
              <w:jc w:val="left"/>
            </w:pPr>
            <w:r>
              <w:rPr>
                <w:rFonts w:ascii="仿宋_GB2312" w:hAnsi="仿宋_GB2312" w:cs="仿宋_GB2312" w:eastAsia="仿宋_GB2312"/>
                <w:sz w:val="24"/>
              </w:rPr>
              <w:t>7、调换保安员时应向管理部门报备，对于不称职保安员应及时撤换。</w:t>
            </w:r>
          </w:p>
          <w:p>
            <w:pPr>
              <w:pStyle w:val="null3"/>
              <w:spacing w:before="105" w:after="105"/>
              <w:jc w:val="left"/>
            </w:pPr>
            <w:r>
              <w:rPr>
                <w:rFonts w:ascii="仿宋_GB2312" w:hAnsi="仿宋_GB2312" w:cs="仿宋_GB2312" w:eastAsia="仿宋_GB2312"/>
                <w:sz w:val="24"/>
              </w:rPr>
              <w:t>8、需严格依照国家相关法律法规及《保安服务管理条例》履行职责,并严格遵守相关规定；</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、对突发事件的处理</w:t>
            </w:r>
            <w:r>
              <w:rPr>
                <w:rFonts w:ascii="仿宋_GB2312" w:hAnsi="仿宋_GB2312" w:cs="仿宋_GB2312" w:eastAsia="仿宋_GB2312"/>
                <w:sz w:val="21"/>
              </w:rPr>
              <w:t>:</w:t>
            </w:r>
            <w:r>
              <w:rPr>
                <w:rFonts w:ascii="仿宋_GB2312" w:hAnsi="仿宋_GB2312" w:cs="仿宋_GB2312" w:eastAsia="仿宋_GB2312"/>
                <w:sz w:val="21"/>
              </w:rPr>
              <w:t>①立即汇报；②采取有效措施防止事态扩大；③听从管理方指挥</w:t>
            </w:r>
            <w:r>
              <w:rPr>
                <w:rFonts w:ascii="仿宋_GB2312" w:hAnsi="仿宋_GB2312" w:cs="仿宋_GB2312" w:eastAsia="仿宋_GB2312"/>
                <w:sz w:val="21"/>
              </w:rPr>
              <w:t>,</w:t>
            </w:r>
            <w:r>
              <w:rPr>
                <w:rFonts w:ascii="仿宋_GB2312" w:hAnsi="仿宋_GB2312" w:cs="仿宋_GB2312" w:eastAsia="仿宋_GB2312"/>
                <w:sz w:val="21"/>
              </w:rPr>
              <w:t>参加对突发事件的处理。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 采购人每季度根据服务内容、质量标准、人员要求、考核办法及服务商承诺细则对所提供的安保服务进行一次验收。 （二）服务期满后，采购人对本项目的实施情况进行验收，确认服务标准和服务方式是否达到采购要求（必要时采购人可委托技术专家对项目进行验收）。验收合格后，填写政府采购项目验收单（一式伍份）作为对项目的最终认可。 （三）验收依据 1、磋商文件、响应文件； 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甲乙双方在第一季度最后一个月25日前完成本季度安保服务费核对，由乙方在下季度第一个月10日前向甲方提供等额有效发票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甲乙双方在第二季度最后一个月25日前完成本季度安保服务费核对，由乙方在下季度第一个月10日前向甲方提供等额有效发票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甲乙双方在第三季度最后一个月25日前完成本季度安保服务费核对，由乙方在下季度第一个月10日前向甲方提供等额有效发票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甲乙双方在第四季度最后一个月25日前完成本季度安保服务费核对，由乙方在下季度第一个月10日前向甲方提供等额有效发票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2.合同签订后，如乙方擅自中途停止或解除合同，乙方应向甲方双倍返还定金。没有约定定金的，乙方向甲方以合同金额的百分之二十支付违约金。 3.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 4.乙方有下列情形之一的，甲方有权单方解除合同且有权要求乙方按照合同总额的10％向甲方承担违约责任： （1）乙方私自将甲方设备用于合同目的以外的用途的； （2）乙方或乙方人员造成自身、甲方人员或客户人身伤害事故的； （3）乙方或乙方人员造成甲方财产损失超过30000元的； （4）乙方违反本合同约定，经甲方通知后在10天内仍不改正的； （5）乙方违反本合同约定，根据法律规定或双方约定甲方有权解除合同的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2.本项目属性为服务。 3.本项目合同包1采购标的所属行业为：租赁和商务服务业； 4.本项目是否属于信用担保试点范围：否。 5.本项目采用电子化投标与纸质投标并行的方式，供应商需要于磋商响应文件提交截止时间前在线提交电子响应文件，同时线下提交一正两副纸质版竞争性磋商响应文件，电子响应文件应与纸质响应文件保持一致。 ①提交纸质版响应文件截止时间：详见竞争性磋商公告； ②提交纸质版响应文件地点：西安市莲湖区北关正街35号方兴大厦4-018室； ③提交纸质版响应文件密封要求：竞争性磋商响应文件正本、所有副本分开密封装在单独的信封中（封袋不得有破损），且在信封上标明“正本”、“副本”字样。封袋应加贴封条，并在封线处加盖磋商供应商公章，封袋正面要粘贴供应商名称、项目名称、项目编号等标识。 6.根据陕西省财政厅关于启用会计师事务所审计报告“二维码”赋码查验功能的通知（陕财办会函〔2022〕55号），供应商提供2023或2024年度经审计的完整财务报告中，需附带具备查验功能的二维码。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提供磋商截止日前六个月内已缴纳的至少一个月的纳税证明或完税证明（增值税、印花税、城市维护建设费、企业所得税等一 种或多种税种）；依法免税的单位应提供相关证明材料；4、提供磋商截止日前六个月内已缴存的至少一个月的社会保障资金缴存单据或社保机构开具的社会保险参保缴费情况证明，依法不需要缴纳社会保障资金的单位应提供相关证明材料；5、参加本次政府采购活动前三年内在经营活动中没有重大违法记录的书面声明；6、供应商未被列入“中国执行信息公开网”（http://zxgk.court.gov.cn/shixin/）失信被执行人名单，未被列入“信用中国”网站（www.creditchina.gov.cn）重大税收违法失信主体，未被列入“中国政府采购网”（www.ccgp.gov.cn）政府采购严重违法失信行为记录名单；7、提供具有履行合同所必需的设备和专业技术能力的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磋商截止时间前六个月内其基本户开户银行出具的资信证明（附开户许可证或开户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提供合法有效的营业执照/事业单位法人证书/专业服务机构执业许可证/民办非企业单位登记证书等相关证明，自然人参与的提供其身份证明</w:t>
            </w:r>
          </w:p>
        </w:tc>
        <w:tc>
          <w:tcPr>
            <w:tcW w:type="dxa" w:w="3322"/>
          </w:tcPr>
          <w:p>
            <w:pPr>
              <w:pStyle w:val="null3"/>
            </w:pPr>
            <w:r>
              <w:rPr>
                <w:rFonts w:ascii="仿宋_GB2312" w:hAnsi="仿宋_GB2312" w:cs="仿宋_GB2312" w:eastAsia="仿宋_GB2312"/>
              </w:rPr>
              <w:t>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磋商截止时间前六个月内其基本户开户银行出具的资信证明（附开户许可证或开户证明）；</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磋商截止时间前六个月内其基本户开户银行出具的资信证明（附开户许可证或开户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提供磋商截止日前六个月内已缴纳的至少一个月的纳税证明或完税证明（增值税、印花税、城市维护建设费、企业所得税等一 种或多种税种）依法免税的单位应提供相关证明材料</w:t>
            </w:r>
          </w:p>
        </w:tc>
        <w:tc>
          <w:tcPr>
            <w:tcW w:type="dxa" w:w="3322"/>
          </w:tcPr>
          <w:p>
            <w:pPr>
              <w:pStyle w:val="null3"/>
            </w:pPr>
            <w:r>
              <w:rPr>
                <w:rFonts w:ascii="仿宋_GB2312" w:hAnsi="仿宋_GB2312" w:cs="仿宋_GB2312" w:eastAsia="仿宋_GB2312"/>
              </w:rPr>
              <w:t>提供磋商截止日前六个月内已缴纳的至少一个月的纳税证明或完税证明（增值税、印花税、城市维护建设费、企业所得税等一 种或多种税种）依法免税的单位应提供相关证明材料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具备公安部门颁发的《保安服务许可证》资质证书，陕西省外供应商还须出具承诺书（承诺书形式不限），承诺自承接本项目之日起30日内向采购人所在地区的市级人民政府公安机关备案；</w:t>
            </w:r>
          </w:p>
        </w:tc>
        <w:tc>
          <w:tcPr>
            <w:tcW w:type="dxa" w:w="3322"/>
          </w:tcPr>
          <w:p>
            <w:pPr>
              <w:pStyle w:val="null3"/>
            </w:pPr>
            <w:r>
              <w:rPr>
                <w:rFonts w:ascii="仿宋_GB2312" w:hAnsi="仿宋_GB2312" w:cs="仿宋_GB2312" w:eastAsia="仿宋_GB2312"/>
              </w:rPr>
              <w:t>具备公安部门颁发的《保安服务许可证》资质证书，陕西省外供应商还须出具承诺书（承诺书形式不限），承诺自承接本项目之日起30日内向采购人所在地区的市级人民政府公安机关备案；供应商需在项目 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供应商承诺书.docx 商务条款偏离表.docx 监狱企业的证明文件 服务应答表.docx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服务方案 标的清单 报价表 响应函 供应商承诺书.docx 商务条款偏离表.docx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商务条款偏离表.docx 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服务方案 供应商承诺书.docx 商务条款偏离表.docx 服务应答表.docx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项目整体认识</w:t>
            </w:r>
          </w:p>
        </w:tc>
        <w:tc>
          <w:tcPr>
            <w:tcW w:type="dxa" w:w="2492"/>
          </w:tcPr>
          <w:p>
            <w:pPr>
              <w:pStyle w:val="null3"/>
            </w:pPr>
            <w:r>
              <w:rPr>
                <w:rFonts w:ascii="仿宋_GB2312" w:hAnsi="仿宋_GB2312" w:cs="仿宋_GB2312" w:eastAsia="仿宋_GB2312"/>
              </w:rPr>
              <w:t>供应商提供对项目背景以及项目工作目标的总体理解与认识： 对项目背景以及项目工作目标的认识准确，理解到位得5分； 对项目背景以及项目工作目标的认识较为准确，理解到位，得4分； 对项目背景以及项目工作目标的认识基本准确，理解基本到位，得3分； 对项目背景以及项目工作目标的认识宽泛，理解不到位，得2分； 对项目背景以及项目工作目标的认识不准确，得1分；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结合本项目采购需求并结合项目实际，提供安保服务方案，包括但不限于： ①团队的职能分工方案、②现场管理方案、③项目安保的人员安排、④安保作业人员的培训方案等。 每个单项内容完整、思路明晰合理、科学、实用、针对性强得3分； 每个单项内容相对完整、思路相对明晰合理、科学、实用、针对性相对合理得2分；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拟派项目负责人具有安保服务管理层工作经验，得2分；提供相关证明材料。 项目负责人具备大专及以上学历得2分，（以学历证书复印件或扫描件为准）； 未提供相关资料不得分。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结合本项目采购需求并结合项目实际，提供人员管理服务方案，包括但不限于： ①素质教育、②日常管理、③员工奖惩、激励制度健全等。 每个单项内容完整、思路明晰合理、科学、实用、针对性强得3分； 每个单项内容相对完整、思路相对明晰合理、科学、实用、针对性相对合理得2分；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安保用具配备情况</w:t>
            </w:r>
          </w:p>
        </w:tc>
        <w:tc>
          <w:tcPr>
            <w:tcW w:type="dxa" w:w="2492"/>
          </w:tcPr>
          <w:p>
            <w:pPr>
              <w:pStyle w:val="null3"/>
            </w:pPr>
            <w:r>
              <w:rPr>
                <w:rFonts w:ascii="仿宋_GB2312" w:hAnsi="仿宋_GB2312" w:cs="仿宋_GB2312" w:eastAsia="仿宋_GB2312"/>
              </w:rPr>
              <w:t>①协防装备的种类配置情况、②协防装备的管理制度、③安保人员日常训练使用协防装备的训练方案 每个单项内容完整、思路明晰合理、科学、实用、针对性强得3分； 每个单项内容相对完整、思路相对明晰合理、科学、实用、针对性相对合理得2分；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针对本项目有完善的管理制度，包括但不限于①财务管理制度、②台账管理制度、③安保装备管理制度、④考核制度、⑤保密管理制度等。 每个单项内容完整、思路明晰合理、科学、实用、针对性强得2分；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建议内容科学可行，有针对性且内容丰富得5分；建议内容较为可行，有一定的针对性得4分；建议内容基本可行，具有针对性得3分； 建议内容简单，不完整，部分具有针对性得2分；建议内容简单且凌乱，针对性有待考究得1分；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根据供应商针对本项目提供的应急保障方案，包括但不限于:①突发事件、②事故处理、③治安应急处理、④消防应急处理。 每个单项内容完整、思路明晰合理、科学、实用、针对性强得3分； 每个单项内容相对完整、思路相对明晰合理、科学、实用、针对性相对合理得2分；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供应商根据本项目的特点，制定合理可行服务质量保证措施。 措施详细完整、可行性、针对性强，能高质量的确保项目服务质量，得6分； 措施相对完整，有一定的可行性及针对性以保证项目质量，得5分； 措施简略、可行性存在不足，得4分； 措施存在漏洞、合理性、可行性差，得3分； 措施存在重大缺漏，几乎不存在可行性，得2分； 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具有针对本项目的工作安排详尽、切实、可行，具有完善的服务承诺。 承诺详细、全面、合理性强、规范性强、可操作性强得5分； 承诺较为详细、全面、合理性较强、规范性较强、可操作性较强得4分； 承诺全面、具有一定的合理性、规范性及可操作性得3分； 承诺基本全面、合理性一般、基本具有可操作性得2分； 承诺笼统，不完善，可操作性有待考究得1分；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针对本项目实施过程中记录的安保服务档案，提供对应的安防服务档案管理方案。 保管、移交、备案及登记措施内容完整性、科学性强得5分； 保管、移交、备案及登记措施内容较为完整、科学得4分： 保管、移交、备案及登记措施内容完整性、科学性一般得3分； 保管、移交、备案及登记措施内容完整性、科学性存在不足得2分； 保管、移交、备案及登记措施内容残缺、科学性差得1分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应商提供自2022年01月1日至今的类似项目业绩（以合同签订时间或中标通知书时间为准），每提供一个业绩得2分，满分8分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