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版本号：SXBH2025-ZBZB-025F20250516001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西电片区城市发展与改造更新实施规划方案编制服务项目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SXBH2025-ZBZB-025F</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西电片区城市发展与改造更新实施规划方案编制服务项目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SXBH2025-ZBZB-025F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西电片区城市发展与改造更新实施规划方案编制服务项目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西电片区工作范围为东至环城西路，南至大庆路，西至汉城北路，北至陇海线，面积约4.98平方公里（7477亩），包括七个重点更新区块。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1、企业资格：投标人须具备国家主管部门颁发的城乡规划编制甲级资质。</w:t>
      </w:r>
    </w:p>
    <w:p>
      <w:pPr>
        <w:pStyle w:val="null3"/>
      </w:pPr>
      <w:r>
        <w:rPr>
          <w:rFonts w:ascii="仿宋_GB2312" w:hAnsi="仿宋_GB2312" w:cs="仿宋_GB2312" w:eastAsia="仿宋_GB2312"/>
        </w:rPr>
        <w:t>2、法定代表人授权书：法定代表人直接参加投标的，须提供法定代表人身份证明；法定代表人授权他人参加投标的，须提供法定代表人授权委托书。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3、信用查询：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赵建珂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13488115417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西安市曲江新区雁翔路3269号旺座曲江CB座1505室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18049528391、17791158032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代理服务费收费标准：费参照国家计委计价格〔2002〕1980号文和国家发改委发改办价格〔2003〕857号文的标准95%收取。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按照国家现行有关标准进行。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联系电话：18049528391</w:t>
      </w:r>
    </w:p>
    <w:p>
      <w:pPr>
        <w:pStyle w:val="null3"/>
      </w:pPr>
      <w:r>
        <w:rPr>
          <w:rFonts w:ascii="仿宋_GB2312" w:hAnsi="仿宋_GB2312" w:cs="仿宋_GB2312" w:eastAsia="仿宋_GB2312"/>
        </w:rPr>
        <w:t>地址：西安市曲江新区旺座曲江C座1505室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西电片区工作范围为东至环城西路，南至大庆路，西至汉城北路，北至陇海线，面积约4.98平方公里（7477亩），包括七个重点更新区块，详见招标文件。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11,550,000.00</w:t>
      </w:r>
    </w:p>
    <w:p>
      <w:pPr>
        <w:pStyle w:val="null3"/>
      </w:pPr>
      <w:r>
        <w:rPr>
          <w:rFonts w:ascii="仿宋_GB2312" w:hAnsi="仿宋_GB2312" w:cs="仿宋_GB2312" w:eastAsia="仿宋_GB2312"/>
        </w:rPr>
        <w:t>采购包最高限价（元）: 10,990,000.00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西电片区城市发展与改造更新实施规划方案编制服务项目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标的名称：西电片区城市发展与改造更新实施规划方案编制服务项目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一、工作范围</w:t>
            </w:r>
          </w:p>
          <w:p>
            <w:pPr>
              <w:pStyle w:val="null3"/>
              <w:ind w:firstLine="640"/>
              <w:jc w:val="both"/>
            </w:pPr>
            <w:r>
              <w:rPr>
                <w:rFonts w:ascii="仿宋_GB2312" w:hAnsi="仿宋_GB2312" w:cs="仿宋_GB2312" w:eastAsia="仿宋_GB2312"/>
                <w:sz w:val="24"/>
              </w:rPr>
              <w:t>西电片区工作范围为东至环城西路，南至大庆路，西至汉城北路，北至陇海线，面积约4.98平方公里（7477亩），包括七个重点更新区块，具体信息如下：</w:t>
            </w:r>
          </w:p>
          <w:p>
            <w:pPr>
              <w:pStyle w:val="null3"/>
              <w:ind w:firstLine="640"/>
              <w:jc w:val="both"/>
            </w:pPr>
            <w:r>
              <w:rPr>
                <w:rFonts w:ascii="仿宋_GB2312" w:hAnsi="仿宋_GB2312" w:cs="仿宋_GB2312" w:eastAsia="仿宋_GB2312"/>
                <w:sz w:val="24"/>
              </w:rPr>
              <w:t>（一）西二环以东4个区块：</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、原西站更新区块605亩；</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、西电东区更新区块1021亩；</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、西仪更新区块330亩</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、变压器厂搬迁后轨交一体更新区块338亩。</w:t>
            </w:r>
          </w:p>
          <w:p>
            <w:pPr>
              <w:pStyle w:val="null3"/>
              <w:ind w:firstLine="640"/>
              <w:jc w:val="both"/>
            </w:pPr>
            <w:r>
              <w:rPr>
                <w:rFonts w:ascii="仿宋_GB2312" w:hAnsi="仿宋_GB2312" w:cs="仿宋_GB2312" w:eastAsia="仿宋_GB2312"/>
                <w:sz w:val="24"/>
              </w:rPr>
              <w:t>（二）西二环以西3个区块：</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、西高院检测服务业提升更新区块357亩；</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、西电西区更新区块655亩；</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、延长等企业更新区块1138亩。</w:t>
            </w:r>
          </w:p>
          <w:p>
            <w:pPr>
              <w:pStyle w:val="null3"/>
              <w:jc w:val="both"/>
            </w:pPr>
            <w:r>
              <w:rPr>
                <w:rFonts w:ascii="仿宋_GB2312" w:hAnsi="仿宋_GB2312" w:cs="仿宋_GB2312" w:eastAsia="仿宋_GB2312"/>
                <w:sz w:val="24"/>
                <w:b/>
              </w:rPr>
              <w:t>二、工作内容</w:t>
            </w:r>
          </w:p>
          <w:p>
            <w:pPr>
              <w:pStyle w:val="null3"/>
              <w:ind w:firstLine="640"/>
              <w:jc w:val="both"/>
            </w:pPr>
            <w:r>
              <w:rPr>
                <w:rFonts w:ascii="仿宋_GB2312" w:hAnsi="仿宋_GB2312" w:cs="仿宋_GB2312" w:eastAsia="仿宋_GB2312"/>
                <w:sz w:val="24"/>
              </w:rPr>
              <w:t>本次工作内容主要包括西电片区城市更新实施规划、开发实施方案、详细城市设计、交通市政专项等四个方面，具体内容如下：</w:t>
            </w:r>
          </w:p>
          <w:p>
            <w:pPr>
              <w:pStyle w:val="null3"/>
              <w:ind w:firstLine="482"/>
              <w:jc w:val="both"/>
            </w:pPr>
            <w:r>
              <w:rPr>
                <w:rFonts w:ascii="仿宋_GB2312" w:hAnsi="仿宋_GB2312" w:cs="仿宋_GB2312" w:eastAsia="仿宋_GB2312"/>
                <w:sz w:val="24"/>
                <w:b/>
              </w:rPr>
              <w:t>（一）西电片区城市更新实施规划</w:t>
            </w:r>
          </w:p>
          <w:p>
            <w:pPr>
              <w:pStyle w:val="null3"/>
              <w:ind w:firstLine="640"/>
              <w:jc w:val="both"/>
            </w:pPr>
            <w:r>
              <w:rPr>
                <w:rFonts w:ascii="仿宋_GB2312" w:hAnsi="仿宋_GB2312" w:cs="仿宋_GB2312" w:eastAsia="仿宋_GB2312"/>
                <w:sz w:val="24"/>
              </w:rPr>
              <w:t>基于总体发展思路和区域总体统筹，聚焦西电片区更新范围编制实施规划，在现状摸查、范围划定、目标定位、功能策划、规划优化方案等方面进行系统性研究，提出更新实施规划方案。</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、现状摸查梳理。</w:t>
            </w:r>
            <w:r>
              <w:rPr>
                <w:rFonts w:ascii="仿宋_GB2312" w:hAnsi="仿宋_GB2312" w:cs="仿宋_GB2312" w:eastAsia="仿宋_GB2312"/>
                <w:sz w:val="24"/>
              </w:rPr>
              <w:t>从西电片区地上地下要素资源条件和人民实际需求出发，聚焦城市安全韧性、城市结构完整性、城市功能互补性三个维度，对西电片区土地利用情况、相关规划情况、历史文化遗产资源情况、企业搬迁进展情况等信息进行梳理分析，综合考西电片区周边城市功能和自身更新潜力，提出存在问题。</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、更新范围划定。</w:t>
            </w:r>
            <w:r>
              <w:rPr>
                <w:rFonts w:ascii="仿宋_GB2312" w:hAnsi="仿宋_GB2312" w:cs="仿宋_GB2312" w:eastAsia="仿宋_GB2312"/>
                <w:sz w:val="24"/>
              </w:rPr>
              <w:t>在土地整理基础上，衔接单元详细规划的相关要求，按照城市更新实施的完整性和独立性，划定西电城市更新片区和重点区块，保证基础设施和公共服务设施相对完整，综合考虑道路、林带等自然要素及产权边界等因素，符合成片连片开发建设的要求。</w:t>
            </w:r>
          </w:p>
          <w:p>
            <w:pPr>
              <w:pStyle w:val="null3"/>
              <w:ind w:firstLine="573"/>
              <w:jc w:val="both"/>
            </w:pPr>
            <w:r>
              <w:rPr>
                <w:rFonts w:ascii="仿宋_GB2312" w:hAnsi="仿宋_GB2312" w:cs="仿宋_GB2312" w:eastAsia="仿宋_GB2312"/>
                <w:sz w:val="24"/>
                <w:b/>
              </w:rPr>
              <w:t>3</w:t>
            </w:r>
            <w:r>
              <w:rPr>
                <w:rFonts w:ascii="仿宋_GB2312" w:hAnsi="仿宋_GB2312" w:cs="仿宋_GB2312" w:eastAsia="仿宋_GB2312"/>
                <w:sz w:val="24"/>
                <w:b/>
              </w:rPr>
              <w:t>、更新目标定位。</w:t>
            </w:r>
            <w:r>
              <w:rPr>
                <w:rFonts w:ascii="仿宋_GB2312" w:hAnsi="仿宋_GB2312" w:cs="仿宋_GB2312" w:eastAsia="仿宋_GB2312"/>
                <w:sz w:val="24"/>
              </w:rPr>
              <w:t>在现状资料调查和评估的基础上，研判西电片区发展趋势，分析片区在产业转型升级、公共设施完善、历史文化保育、综合效益升级等方面的核心价值，积极谋划商业商务、科创文旅、民生配套、产业服务等项目，提出西电片区更新目标与规划定位。</w:t>
            </w:r>
          </w:p>
          <w:p>
            <w:pPr>
              <w:pStyle w:val="null3"/>
              <w:ind w:firstLine="640"/>
              <w:jc w:val="both"/>
            </w:pPr>
            <w:r>
              <w:rPr>
                <w:rFonts w:ascii="仿宋_GB2312" w:hAnsi="仿宋_GB2312" w:cs="仿宋_GB2312" w:eastAsia="仿宋_GB2312"/>
                <w:sz w:val="24"/>
                <w:b/>
              </w:rPr>
              <w:t>4</w:t>
            </w:r>
            <w:r>
              <w:rPr>
                <w:rFonts w:ascii="仿宋_GB2312" w:hAnsi="仿宋_GB2312" w:cs="仿宋_GB2312" w:eastAsia="仿宋_GB2312"/>
                <w:sz w:val="24"/>
                <w:b/>
              </w:rPr>
              <w:t>、功能业态策划。</w:t>
            </w:r>
            <w:r>
              <w:rPr>
                <w:rFonts w:ascii="仿宋_GB2312" w:hAnsi="仿宋_GB2312" w:cs="仿宋_GB2312" w:eastAsia="仿宋_GB2312"/>
                <w:sz w:val="24"/>
              </w:rPr>
              <w:t>深入研究西电片区的功能业态及规模，依托更新引领项目、公共配套和基础设施等建设，形成片区中心，带旺人气，促进土地升值和资源盘活，确保更新既符合地区发展的目标要求，又符合市场的需求。</w:t>
            </w:r>
          </w:p>
          <w:p>
            <w:pPr>
              <w:pStyle w:val="null3"/>
              <w:ind w:firstLine="640"/>
              <w:jc w:val="both"/>
            </w:pPr>
            <w:r>
              <w:rPr>
                <w:rFonts w:ascii="仿宋_GB2312" w:hAnsi="仿宋_GB2312" w:cs="仿宋_GB2312" w:eastAsia="仿宋_GB2312"/>
                <w:sz w:val="24"/>
                <w:b/>
              </w:rPr>
              <w:t>5</w:t>
            </w:r>
            <w:r>
              <w:rPr>
                <w:rFonts w:ascii="仿宋_GB2312" w:hAnsi="仿宋_GB2312" w:cs="仿宋_GB2312" w:eastAsia="仿宋_GB2312"/>
                <w:sz w:val="24"/>
                <w:b/>
              </w:rPr>
              <w:t>、规划优化方案。</w:t>
            </w:r>
            <w:r>
              <w:rPr>
                <w:rFonts w:ascii="仿宋_GB2312" w:hAnsi="仿宋_GB2312" w:cs="仿宋_GB2312" w:eastAsia="仿宋_GB2312"/>
                <w:sz w:val="24"/>
              </w:rPr>
              <w:t>结合片区发展现状与定位，在国土空间详细规划方案的基础上，按照规模不减、数量不变、位置更优原则进行规划优化，在对既有国土空间详细规划方案充分研判的基础上，明确本轮实施规划着力解决的问题，合理布局各类项目用地，落实近期重点项目布局，明确地块划分、功能配比、土地利用性质、开发强度及其他城市系统性要素空间配置方案，优化形成整体土地利用方案，为土地开发、项目建设、宣传展示搭建平台。</w:t>
            </w:r>
          </w:p>
          <w:p>
            <w:pPr>
              <w:pStyle w:val="null3"/>
              <w:ind w:firstLine="570"/>
              <w:jc w:val="both"/>
            </w:pPr>
            <w:r>
              <w:rPr>
                <w:rFonts w:ascii="仿宋_GB2312" w:hAnsi="仿宋_GB2312" w:cs="仿宋_GB2312" w:eastAsia="仿宋_GB2312"/>
                <w:sz w:val="24"/>
                <w:b/>
              </w:rPr>
              <w:t>6</w:t>
            </w:r>
            <w:r>
              <w:rPr>
                <w:rFonts w:ascii="仿宋_GB2312" w:hAnsi="仿宋_GB2312" w:cs="仿宋_GB2312" w:eastAsia="仿宋_GB2312"/>
                <w:sz w:val="24"/>
                <w:b/>
              </w:rPr>
              <w:t>、地块实施详规。</w:t>
            </w:r>
            <w:r>
              <w:rPr>
                <w:rFonts w:ascii="仿宋_GB2312" w:hAnsi="仿宋_GB2312" w:cs="仿宋_GB2312" w:eastAsia="仿宋_GB2312"/>
                <w:sz w:val="24"/>
              </w:rPr>
              <w:t>在实施规划、开发实施方案和详细城市设计的基础上，聚焦西电东区更新区块的15个地块和西站更新区块一期的5个地块，落实细化规划指标、管控要求和重点功能区块的传导要求，明确规划范围的用地布局，明晰地块的用地性质、容积率、建筑密度、建筑高度、城市设计等技术指标，确定基础设施和公服设施的用地规模、范围，以及建筑形态、公共空间等城市设计控制要求。</w:t>
            </w:r>
          </w:p>
          <w:p>
            <w:pPr>
              <w:pStyle w:val="null3"/>
              <w:ind w:firstLine="482"/>
              <w:jc w:val="both"/>
            </w:pPr>
            <w:r>
              <w:rPr>
                <w:rFonts w:ascii="仿宋_GB2312" w:hAnsi="仿宋_GB2312" w:cs="仿宋_GB2312" w:eastAsia="仿宋_GB2312"/>
                <w:sz w:val="24"/>
                <w:b/>
              </w:rPr>
              <w:t>（二）西电片区开发实施方案</w:t>
            </w:r>
          </w:p>
          <w:p>
            <w:pPr>
              <w:pStyle w:val="null3"/>
              <w:ind w:firstLine="640"/>
              <w:jc w:val="both"/>
            </w:pPr>
            <w:r>
              <w:rPr>
                <w:rFonts w:ascii="仿宋_GB2312" w:hAnsi="仿宋_GB2312" w:cs="仿宋_GB2312" w:eastAsia="仿宋_GB2312"/>
                <w:sz w:val="24"/>
              </w:rPr>
              <w:t>基于土地现状权属分析，结合区土地收储供应计划，制定片区整体开发实施方案，明确土地收储、道路建设、公服市政建设、土地出让方案等内容，并分区块制定土地收储开发实施方案。</w:t>
            </w:r>
          </w:p>
          <w:p>
            <w:pPr>
              <w:pStyle w:val="null3"/>
              <w:ind w:firstLine="570"/>
              <w:jc w:val="both"/>
            </w:pPr>
            <w:r>
              <w:rPr>
                <w:rFonts w:ascii="仿宋_GB2312" w:hAnsi="仿宋_GB2312" w:cs="仿宋_GB2312" w:eastAsia="仿宋_GB2312"/>
                <w:sz w:val="24"/>
                <w:b/>
              </w:rPr>
              <w:t>1</w:t>
            </w:r>
            <w:r>
              <w:rPr>
                <w:rFonts w:ascii="仿宋_GB2312" w:hAnsi="仿宋_GB2312" w:cs="仿宋_GB2312" w:eastAsia="仿宋_GB2312"/>
                <w:sz w:val="24"/>
                <w:b/>
              </w:rPr>
              <w:t>、片区整体开发实施方案。</w:t>
            </w:r>
            <w:r>
              <w:rPr>
                <w:rFonts w:ascii="仿宋_GB2312" w:hAnsi="仿宋_GB2312" w:cs="仿宋_GB2312" w:eastAsia="仿宋_GB2312"/>
                <w:sz w:val="24"/>
              </w:rPr>
              <w:t>根据片区开发建设诉求，梳理出适宜规划范围开发实施的政策依据，并根据现状详查分析情况，结合用地权属人的诉求、相关利益人的意见以及规划情况，提出规划范围土地整合、土地收储策略等，明确包括土地开发、道路建设、市政公服建设等在内的开发实施计划。</w:t>
            </w:r>
          </w:p>
          <w:p>
            <w:pPr>
              <w:pStyle w:val="null3"/>
              <w:ind w:firstLine="570"/>
              <w:jc w:val="both"/>
            </w:pPr>
            <w:r>
              <w:rPr>
                <w:rFonts w:ascii="仿宋_GB2312" w:hAnsi="仿宋_GB2312" w:cs="仿宋_GB2312" w:eastAsia="仿宋_GB2312"/>
                <w:sz w:val="24"/>
                <w:b/>
              </w:rPr>
              <w:t>2</w:t>
            </w:r>
            <w:r>
              <w:rPr>
                <w:rFonts w:ascii="仿宋_GB2312" w:hAnsi="仿宋_GB2312" w:cs="仿宋_GB2312" w:eastAsia="仿宋_GB2312"/>
                <w:sz w:val="24"/>
                <w:b/>
              </w:rPr>
              <w:t>、片区经济平衡测算。</w:t>
            </w:r>
            <w:r>
              <w:rPr>
                <w:rFonts w:ascii="仿宋_GB2312" w:hAnsi="仿宋_GB2312" w:cs="仿宋_GB2312" w:eastAsia="仿宋_GB2312"/>
                <w:sz w:val="24"/>
              </w:rPr>
              <w:t>根据规划范围现状详查分析情况，结合土地整合、征收储备方案，估算土地整合、征收储备成本；根据土地整备方案，结合规划方案估算可出让的地块面积、指标及出让收益；在此基础上，测算规划范围经济效益情况。</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、重点更新区块土地收储、基建、出让实施方案。</w:t>
            </w:r>
            <w:r>
              <w:rPr>
                <w:rFonts w:ascii="仿宋_GB2312" w:hAnsi="仿宋_GB2312" w:cs="仿宋_GB2312" w:eastAsia="仿宋_GB2312"/>
                <w:sz w:val="24"/>
              </w:rPr>
              <w:t>分类开展重点更新区块土地收储、基建、出让实施方案研究。对于开发型区块，开展土地收储、基础设施建设的安排和成本投入分析测算，制定各区块的出让方案，明确年度实施计划；对于改造型区块，在梳理土地权属的基础上开展功能指引研究，明确“拆、留、修、改、调”更新实施策略，制定实施计划，开展经济测算。</w:t>
            </w:r>
          </w:p>
          <w:p>
            <w:pPr>
              <w:pStyle w:val="null3"/>
              <w:ind w:firstLine="482"/>
              <w:jc w:val="both"/>
            </w:pPr>
            <w:r>
              <w:rPr>
                <w:rFonts w:ascii="仿宋_GB2312" w:hAnsi="仿宋_GB2312" w:cs="仿宋_GB2312" w:eastAsia="仿宋_GB2312"/>
                <w:sz w:val="24"/>
                <w:b/>
              </w:rPr>
              <w:t>（三）西电片区详细城市设计</w:t>
            </w:r>
          </w:p>
          <w:p>
            <w:pPr>
              <w:pStyle w:val="null3"/>
              <w:ind w:firstLine="640"/>
              <w:jc w:val="both"/>
            </w:pPr>
            <w:r>
              <w:rPr>
                <w:rFonts w:ascii="仿宋_GB2312" w:hAnsi="仿宋_GB2312" w:cs="仿宋_GB2312" w:eastAsia="仿宋_GB2312"/>
                <w:sz w:val="24"/>
              </w:rPr>
              <w:t>在构建片区整体城市设计体系的基础上，针对7个重点更新区块开展详细城市设计研究，通过对空间框架、功能业态与产品策划、开敞空间、城市界面、建筑形态、城市天际线、地标建筑、视线廊道等方面的整体统筹，提出片区城市空间的总体发展意向和各重点区块的相关控制要求，指导后续地块的规划调整。</w:t>
            </w:r>
          </w:p>
          <w:p>
            <w:pPr>
              <w:pStyle w:val="null3"/>
              <w:ind w:firstLine="482"/>
              <w:jc w:val="both"/>
            </w:pPr>
            <w:r>
              <w:rPr>
                <w:rFonts w:ascii="仿宋_GB2312" w:hAnsi="仿宋_GB2312" w:cs="仿宋_GB2312" w:eastAsia="仿宋_GB2312"/>
                <w:sz w:val="24"/>
                <w:b/>
              </w:rPr>
              <w:t>（四）交通及市政专项研究</w:t>
            </w:r>
          </w:p>
          <w:p>
            <w:pPr>
              <w:pStyle w:val="null3"/>
              <w:ind w:firstLine="570"/>
              <w:jc w:val="both"/>
            </w:pPr>
            <w:r>
              <w:rPr>
                <w:rFonts w:ascii="仿宋_GB2312" w:hAnsi="仿宋_GB2312" w:cs="仿宋_GB2312" w:eastAsia="仿宋_GB2312"/>
                <w:sz w:val="24"/>
                <w:b/>
              </w:rPr>
              <w:t>1</w:t>
            </w:r>
            <w:r>
              <w:rPr>
                <w:rFonts w:ascii="仿宋_GB2312" w:hAnsi="仿宋_GB2312" w:cs="仿宋_GB2312" w:eastAsia="仿宋_GB2312"/>
                <w:sz w:val="24"/>
                <w:b/>
              </w:rPr>
              <w:t>、开展综合交通体系专项研究。</w:t>
            </w:r>
            <w:r>
              <w:rPr>
                <w:rFonts w:ascii="仿宋_GB2312" w:hAnsi="仿宋_GB2312" w:cs="仿宋_GB2312" w:eastAsia="仿宋_GB2312"/>
                <w:sz w:val="24"/>
              </w:rPr>
              <w:t>梳理并优化片区道路交通体系，提出优化调整道路格局与红线方案，研究区域慢性交通、公共交通体系，提出优化策略与方案，开展区域交通承载力分析以及重点地块周边承载力评估。</w:t>
            </w:r>
          </w:p>
          <w:p>
            <w:pPr>
              <w:pStyle w:val="null3"/>
              <w:ind w:firstLine="570"/>
              <w:jc w:val="both"/>
            </w:pPr>
            <w:r>
              <w:rPr>
                <w:rFonts w:ascii="仿宋_GB2312" w:hAnsi="仿宋_GB2312" w:cs="仿宋_GB2312" w:eastAsia="仿宋_GB2312"/>
                <w:sz w:val="24"/>
                <w:b/>
              </w:rPr>
              <w:t>2</w:t>
            </w:r>
            <w:r>
              <w:rPr>
                <w:rFonts w:ascii="仿宋_GB2312" w:hAnsi="仿宋_GB2312" w:cs="仿宋_GB2312" w:eastAsia="仿宋_GB2312"/>
                <w:sz w:val="24"/>
                <w:b/>
              </w:rPr>
              <w:t>、开展市政设施专项研究。</w:t>
            </w:r>
            <w:r>
              <w:rPr>
                <w:rFonts w:ascii="仿宋_GB2312" w:hAnsi="仿宋_GB2312" w:cs="仿宋_GB2312" w:eastAsia="仿宋_GB2312"/>
                <w:sz w:val="24"/>
              </w:rPr>
              <w:t>对片区市政基础设施规划进行深入研究，结合片区功能布局、人口分布、近期建设重点项目等内容，进一步研究片区给水、雨水、污水、电力、供热、燃气等市政设施内容，提出优化调整方案。</w:t>
            </w:r>
          </w:p>
          <w:p>
            <w:pPr>
              <w:pStyle w:val="null3"/>
              <w:jc w:val="both"/>
            </w:pPr>
            <w:r>
              <w:rPr>
                <w:rFonts w:ascii="仿宋_GB2312" w:hAnsi="仿宋_GB2312" w:cs="仿宋_GB2312" w:eastAsia="仿宋_GB2312"/>
                <w:sz w:val="24"/>
                <w:b/>
              </w:rPr>
              <w:t>三、成果要求</w:t>
            </w:r>
          </w:p>
          <w:p>
            <w:pPr>
              <w:pStyle w:val="null3"/>
              <w:ind w:firstLine="570"/>
              <w:jc w:val="both"/>
            </w:pPr>
            <w:r>
              <w:rPr>
                <w:rFonts w:ascii="仿宋_GB2312" w:hAnsi="仿宋_GB2312" w:cs="仿宋_GB2312" w:eastAsia="仿宋_GB2312"/>
                <w:sz w:val="24"/>
              </w:rPr>
              <w:t>1</w:t>
            </w:r>
            <w:r>
              <w:rPr>
                <w:rFonts w:ascii="仿宋_GB2312" w:hAnsi="仿宋_GB2312" w:cs="仿宋_GB2312" w:eastAsia="仿宋_GB2312"/>
                <w:sz w:val="24"/>
              </w:rPr>
              <w:t>、工作成果包括1份西电片区城市更新实施规划方案、20个地块实施详细规划图则、1份西电片区开发实施方案、1份西电片区详细城市设计方案、2份专题研究报告。</w:t>
            </w:r>
          </w:p>
          <w:p>
            <w:pPr>
              <w:pStyle w:val="null3"/>
              <w:ind w:firstLine="570"/>
              <w:jc w:val="both"/>
            </w:pPr>
            <w:r>
              <w:rPr>
                <w:rFonts w:ascii="仿宋_GB2312" w:hAnsi="仿宋_GB2312" w:cs="仿宋_GB2312" w:eastAsia="仿宋_GB2312"/>
                <w:sz w:val="24"/>
              </w:rPr>
              <w:t>2</w:t>
            </w:r>
            <w:r>
              <w:rPr>
                <w:rFonts w:ascii="仿宋_GB2312" w:hAnsi="仿宋_GB2312" w:cs="仿宋_GB2312" w:eastAsia="仿宋_GB2312"/>
                <w:sz w:val="24"/>
              </w:rPr>
              <w:t>、成果文件须向甲方提交纸质版六份，电子版及全部矢量数据一份。</w:t>
            </w:r>
          </w:p>
          <w:p>
            <w:pPr>
              <w:pStyle w:val="null3"/>
              <w:jc w:val="both"/>
            </w:pPr>
            <w:r>
              <w:rPr>
                <w:rFonts w:ascii="仿宋_GB2312" w:hAnsi="仿宋_GB2312" w:cs="仿宋_GB2312" w:eastAsia="仿宋_GB2312"/>
                <w:sz w:val="24"/>
                <w:b/>
              </w:rPr>
              <w:t>四、服务期</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个月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满足招标文件及评审办法的要求。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满足招标文件及评审办法的要求。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西电片区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政府采购合同的履行、违约责任和解决争议的方法等适用《中华人民共和国合同法》。采购人按照政府采购合同规定的技术、服务、安全标准组织对供应商履约情况进行验收，并出具验收书。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 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在乙方提交成果资料并经政府审议通过后15个工作日内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地块实施详细规划图则成果资料按照标准完成入库后15个工作日内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服务周期满后15个工作日内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1、本合同执行过程中，如乙方单方提出终止合同或违约造成甲方损失，乙方退还甲方支付的全部款项，同时向甲方支付本合同总额 20%的违约金，并赔偿甲方实际损失。如甲方终止合同，甲方按乙方实际工作量支付费用。 2、如乙方未能按照本合同书所约定的时间、内容及要求完成任务，每逾期 一天，应按合同总价的千分之二向甲方支付违约金；逾期超过30日的，甲方有 权单方解除本合同，乙方退还甲方已付的全部费用，并赔偿合同总金额 20%的违约金。 3、如乙方违反保密责任的，无论因自身责任或任何第三人责任，甲方均有权要求乙方立刻停止违约行为，同时尽最大努力防止损失扩大并赔偿因违约行为所受的损失。乙方应当按照本合同违约责任相关条款承担违约责任，甲方有权从 乙方应付款项中直接扣除上述费用，给甲方造成损失的，乙方还需承担甲方的实 际损失。 4、双方本着友好合作的态度,对合同履行过程中发生的纠纷应及时协商解决, 协商不成，向项目所在地人民法院诉讼解决。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投标人须具备国家主管部门颁发的城乡规划编制甲级资质。</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评审内容：提出针对本项目的认知和了解，包含：①项目实施背景②工作目标③项目前期资料收集、分析、理解与认识。 评审标准： ①.方案完整全面，对评审内容中的各项要求有详细描述，具备较高的可实施性、所提出步骤清晰、合理，且方案具有较强的针对性、方案能够紧扣项目实际情况，内容科学合理，计（8,12]分； ②.方案较为完整，对评审内容中的各项要求有描述，具备一定的可实施性、所提出步骤较为清晰、合理，且方案具有一定的针对性、方案能比较好的够紧扣项目实际情况，内容科学较合理，计（4,8]分； ③.方案完整性一般，不能对评审内容中的各项要列求列出描述，不具备可实施性、所提出步骤不清晰、不合理，且方案不具有针对性、方案不能够紧扣项目实际情况，内容不科学合理，计（0,4]分；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评审内容：针对本项目的实施方案，包含：①项目的总体框架及计划、②规划思路、③各技术思路及方法、④预期成果。 评审标准： ①.方案完整全面，对评审内容中的各项要求有详细描述，具备较高的可实施性、所提出步骤清晰、合理，且方案具有较强的针对性、方案能够紧扣项目实际情况，内容科学合理，计（20,30]分； ②.方案较为完整，对评审内容中的各项要求有描述，具备一定的可实施性、所提出步骤较为清晰、合理，且方案具有一定的针对性、方案能比较好的够紧扣项目实际情况，内容科学较合理，计（10,20]分； ③方案完整性一般，不能对评审内容中的各项要列求列出描述，不具备可实施性、所提出步骤不清晰、不合理，且方案不具有针对性、方案不能够紧扣项目实际情况，内容不科学合理，计（0,10]分；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评审内容：针对本项目的服务保障措施，包含：①进度保障措施②质量保障措施。 评审标准： ①.方案完整全面，对评审内容中的各项要求有详细描述，具备较高的可实施性、所提出步骤清晰、合理，且方案具有较强的针对性、方案能够紧扣项目实际情况，内容科学合理，计（4,6]分； ②.方案较为完整，对评审内容中的各项要求有描述，具备一定的可实施性、所提出步骤较为清晰、合理，且方案具有一定的针对性、方案能比较好的够紧扣项目实际情况，内容科学较合理，计（2,4]分； ③.方案完整性一般，不能对评审内容中的各项要列求列出描述，不具备可实施性、所提出步骤不清晰、不合理，且方案不具有针对性、方案不能够紧扣项目实际情况，内容不科学合理，计（0,2]分；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1、项目负责人（5分） 拟派项目负责人具有国家注册城乡规划师和正高级或教授级职称得5分，不满足要求或未提供不得分。 注：提供负责人注册证书、职称证等复印件并加盖公章，2024年至今(任意3个月)参保证明，依法不需要缴纳社会保障资金的，提供相应证明文件，否则不得分。 2、项目团队（15分） 项目组团队(不含项目负责人)，具备高级工程师及以上职称，同时具备国家注册城乡规划师资格的每人得3分，只具备高级工程师职称或只具备国家注册城乡规划师资格的每人得2分，具备中级工程师职称的每人得1分，满分15分。 3、项目组团队相关技术人员专业（6分） 配备齐全包含①规划、②交通、③市政、④建筑，得6分 注：以上专业提供不齐全或未提供不得分，须提供相应证明文件，否则不得分。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企业信誉</w:t>
            </w:r>
          </w:p>
        </w:tc>
        <w:tc>
          <w:tcPr>
            <w:tcW w:type="dxa" w:w="2492"/>
          </w:tcPr>
          <w:p>
            <w:pPr>
              <w:pStyle w:val="null3"/>
            </w:pPr>
            <w:r>
              <w:rPr>
                <w:rFonts w:ascii="仿宋_GB2312" w:hAnsi="仿宋_GB2312" w:cs="仿宋_GB2312" w:eastAsia="仿宋_GB2312"/>
              </w:rPr>
              <w:t>投标人获得高新技术企业认定的，得3分，否则不得分。 注：需提供相关有效证明文件复印件或网页查询截图（显示查询网址）作为证明材料。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企业管理体系认证</w:t>
            </w:r>
          </w:p>
        </w:tc>
        <w:tc>
          <w:tcPr>
            <w:tcW w:type="dxa" w:w="2492"/>
          </w:tcPr>
          <w:p>
            <w:pPr>
              <w:pStyle w:val="null3"/>
            </w:pPr>
            <w:r>
              <w:rPr>
                <w:rFonts w:ascii="仿宋_GB2312" w:hAnsi="仿宋_GB2312" w:cs="仿宋_GB2312" w:eastAsia="仿宋_GB2312"/>
              </w:rPr>
              <w:t>投标人具有在有效期内的质量管理体系认证证书、环境管理体系认证证书、职业健康管理体系认证证书的，每提供一项得1分，最高得3分。 注：提供证书复印件加盖公章，不提供不得分。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1、承诺确保项目能按规定要求完成审议、审批得0.5分； 2、承诺成果文件编制符合国家相关法律法规和行业的规范、标 准及技术规程得0.5分； 3、承诺后续服务具有可延续性得0.5分； 4、承诺针对本项目的信息安全保密措施得0.5分。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投标人自2022年1月1日至今的类似项目，每提供一份业绩合同得1分，满分为8分，不得重复累计。 注：以合同签订时间为准，投标文件中须提供业绩合同复印件/扫描件或中标（成交）通知书，并且加盖单位公章。如为联合体，联合体成员业绩均可。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2、有效最低报价为评标基准价，得10分。 3、报价得分=（评标基准价/有效投标报价）×10。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符合规定的小微企业、监狱企业、残疾人福利企业优惠条 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联合体协议约定小微企业的 合同份额占到合同总金额30%以上的，对联合体的报价给予4%的扣除，用扣除后的价格参与评审。</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