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版本号：YWGL-ZC-2025-001020250530001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提升医疗服务能力设备购置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YWGL-ZC-2025-0010</w:t>
      </w:r>
      <w:r>
        <w:br/>
      </w:r>
      <w:r>
        <w:br/>
      </w:r>
      <w:r>
        <w:br/>
      </w:r>
    </w:p>
    <w:p>
      <w:pPr>
        <w:pStyle w:val="null3"/>
        <w:jc w:val="center"/>
        <w:outlineLvl w:val="2"/>
      </w:pPr>
      <w:r>
        <w:rPr>
          <w:rFonts w:ascii="仿宋_GB2312" w:hAnsi="仿宋_GB2312" w:cs="仿宋_GB2312" w:eastAsia="仿宋_GB2312"/>
          <w:sz w:val="28"/>
          <w:b/>
        </w:rPr>
        <w:t>西安市莲湖区北院门庙后街社区卫生服务中心</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西安市莲湖区北院门庙后街社区卫生服务中心</w:t>
      </w:r>
      <w:r>
        <w:rPr>
          <w:rFonts w:ascii="仿宋_GB2312" w:hAnsi="仿宋_GB2312" w:cs="仿宋_GB2312" w:eastAsia="仿宋_GB2312"/>
        </w:rPr>
        <w:t>委托，拟对</w:t>
      </w:r>
      <w:r>
        <w:rPr>
          <w:rFonts w:ascii="仿宋_GB2312" w:hAnsi="仿宋_GB2312" w:cs="仿宋_GB2312" w:eastAsia="仿宋_GB2312"/>
        </w:rPr>
        <w:t>提升医疗服务能力设备购置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提升医疗服务能力设备购置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提升医疗服务能力设备购置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采购包1（提升医疗服务能力设备购置）：属于专门面向中小企业采购。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1、履约能力承诺：提供具有履行合同所必需的设备和专业技术能力的承诺，供应商需在项目电子化交易系统中按要求上传相应证明文件并进行电子签章。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3、健全的财务会计制度的证明材料：提供具有财务审计资质单位出具的完整的赋码的2023年度或者2024年度财务报告（成立时间至响应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2024年5月至今已缴纳的至少一个月的纳税证明或完税证明（除印花税以外的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5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信用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9、资质要求：提供所投产品的医疗器械注册证或医疗器械备案凭证，供应商需在项目电子化交易系统中按要求上传相应证明文件并进行电子签章。</w:t>
      </w:r>
    </w:p>
    <w:p>
      <w:pPr>
        <w:pStyle w:val="null3"/>
      </w:pPr>
      <w:r>
        <w:rPr>
          <w:rFonts w:ascii="仿宋_GB2312" w:hAnsi="仿宋_GB2312" w:cs="仿宋_GB2312" w:eastAsia="仿宋_GB2312"/>
        </w:rPr>
        <w:t>10、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11、不接受联合体投标磋商：本项目不接受联合体磋商，供应商需在项目电子化交易系统中按要求上传相应证明文件并进行电子签章。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西安市莲湖区北院门庙后街社区卫生服务中心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029-87243877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朱静、邢郁苗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其中不足7000元的，按7000元收取。代理服务费账户：户名：陕西猷为项目管理有限公司；开户行：西安银行西华门西段支行；账号：213011540000064656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西安市莲湖区北院门庙后街社区卫生服务中心</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西安市莲湖区北院门庙后街社区卫生服务中心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陕西猷为项目管理有限公司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地址：西安市莲湖区五星街1号万德商务中心7楼10702室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提升医疗服务能力设备购置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数字化摄影X射线系统、机房辐射防护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标的名称：数字化摄影X射线系统、机房辐射防护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一、产品用途： 用于头颅、颈椎、四肢、胸部、腹部等站立位、卧位和水平侧位的数字X线摄影系统。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▲二、整体要求： 高压发生器、平板探测器、图像采集工作站需为同一品牌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高压发生器： 3.1最大输出功率≥50kW 3.2最大管电流≥630mA ▲3.3逆变频率≥450KHz</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X射线管： 4.1焦点尺寸：小焦点≤0.6 mm,大焦点≥1.2 mm 4.2阳极热容量≥230 kHU</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数字平板探测器： 5.1有效成像区域≥42cm×42 cm 5.2像素尺寸≤139μm 5.3空间分辨率≥3.6Lp/mm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X射线管支撑装置： 6.1落地式机架，非U臂或UC臂。 ▲6.2机头绕水平轴旋转范围≥±180° 6.3立柱旋转范围≥±180°； 6.4机头沿立柱升降运动行程（电动）≥1250 mm 6.5球管侧具备触摸屏，屏幕尺寸≥9.7英寸： 6.5.1触摸屏可显示机头离地面高度、机头与立式摄影架距离和机头旋转角度； 6.5.2触摸显示屏上进行机头与立式摄影架探测器盒具有一键跟踪功能； 6.5.3具备高压同步功能，可调节相应曝光参数； 6.5.4显示患者的详细登记信息； 6.5.5操控触摸屏界面旋转可自动调整方向。</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摄影床： 7.1床面尺寸≥2200×800 mm, 床面高度≤650mm。 7.2床面横向移动范围≥250mm，床面纵向移动范围≥900mm 7.3床下平板探测器运动行程≥520mm 7.4床下平板探测器可在线充电</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立式摄影架： ▲8.1摄影架内探测器中心离地距离：≤350 mm，探测器运动行程：≥1400 mm。 8.2摄影架内平板探测器可在线充电 8.3机头和摄影架内探测器具备自动跟踪功能</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图像采集工作站及处理系统： 9.1硬件配置：处理器：Intel Core i5及以上，内存≥4GB，硬盘≥500GB。 9.2显示器尺寸≥21英寸 9.3支持图像拼接功能； 9.4具备图像采集功能：具备摄影参数选择，3D人体部位选择，患者体型选择，检查项目选择等功能。 9.5具备图像处理功能：具备窗宽、窗位调整，图像缩放、放大、旋转，图像标注，图像裁剪等功能。 9.6可进行尘肺矽肺筛查（提供软件著作权证书）。 9.7符合DICOM3.0标准：支持多项DICOM服务类别，如存储、传输、接收、查询、打印。 9.8支持远程医学影像诊断（提供软件著作权证书）。 ▲9.9具备组织均衡功能（提供软件著作权证书）。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相机参数: 10.1 打印分辨率≥320dpi 10.2胶片可散片装入 10.3可打印五胶片规格：14x17”，14″×14″，11″×14″，10″×12″，8″×10″ 10.4≥2个供片盒 10.5每个供片能盒兼容5种不同规格的胶片 10.6打印速度≥140张/小时（8x10） 10.7首张出片时间≤80s 10.8灰阶≥14bit 10.9符合DICOM3.0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配置清单: 1.高压发生器：1台； 2.X射线管：1件； 3.限束器：1件； 4.摄影床：1件； 5.立式摄影架：1件； 6.平板探测器：1块； 7.滤线栅：1块； 8.图像处理系统：1套； 9.图像采集工作站：1台。 10.医用图像打印机：1台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医用防护单开门： 1.手动防护单开门，洞口尺寸：900*2100mm； 2.防护当量≥3mmpb 铅当量 3.门框、扇外围材料、尺寸:采用304不锈钢装饰面 4.五金配件及其他： 门轴、执手锁、闭门装置等 5、包括不锈钢门套</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医用防护电动平移门： 1.门代号及洞口尺寸: 自动防护门 1500*2200mm 2.防护措施:铅板防护，达到≥3mmpb 铅当量 3.门上设置观察窗，同时设置脚踏式闭门装置和防夹装置 4.门框、扇外围材料、尺寸:采用304不锈钢装饰面 5.颜色、型式及控制方式最终需业主确认</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电动装置： 移门电机、感应光幕、警示标、工作指示灯（警示灯）、门机灯连 锁、五金等设计及相关规范要求中的所有费用</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观察窗: 1.800*600*15mm 2.不锈钢防护框 3.不锈钢窗套</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砌墙: 1.12CM 2.东墙、南墙</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窗户封堵: 12mm硫酸钡板3层</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西墙、北墙防护: 12mm硫酸钡板1层</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东墙、南墙防护： 3mmPb硫酸钡防护涂料</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顶面钢架木板： 60*40*1.5mm镀锌矩管+10mm竹胶板</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顶面防护： 2mmPb硫酸钡防护涂料</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顶面装修： 硅酸钙板</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墙面刷白： 腻子乳胶漆</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地面装饰： 塑胶地板</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踢脚线： 复合踢脚线</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机房内的电路： 1.8个五孔插座 2.1个三开 3．一个空调插座 4.一个换气扇 5.LED平板灯6个 6.机房内灯线2.5mm2 7.机房内插座4mm2 8.线管 （不含设备接地，设备配电箱，动力电缆）</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预控评： 办理放射诊疗许可证</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环评： 办理辐射安全许可证</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原墙体装饰铲除</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垃圾清运： 含外运</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以上数量仅做参考，具体数量实地测量。满足设备使用，满足国家相关标准。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设备运行满一年后，无任何问题，支付剩余的合同金额</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整机原厂质保至少2年。质保期内供应商提供免费维修及免费软件升级服务；（如供货商为代理商，在装机验收时需向采购人提供与厂家签订的针对所供货物的质保期保修协议）质保期内，设备不能正常使用超过七日时，投标人应提供备用机，质保期相应顺延。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1、本项目的核心产品为：数字X线摄影系统。 2、各供应商需在响应文件提交截止时间前向采购代理机构提交纸质版响应文件正本一份，副本二份，电子U盘一份(响应文件内容与电子版一致)。线下递交文件地点:西安市莲湖区五星街1号万德商务中心7楼10702室。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其他应说明的事项.docx 中小企业声明函 供应商资格证明文件.docx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其他应说明的事项.docx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赋码的2023年度或者2024年度财务报告（成立时间至响应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提供2024年5月至今已缴纳的至少一个月的纳税证明或完税证明（除印花税以外的税种），依法免税的单位应提供相关证明材料，供应商需在项目电子化交易系统中按要求上传相应证明文件并进行电子签章。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其他应说明的事项.docx 标的清单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提供所投产品的医疗器械注册证或医疗器械备案凭证，供应商需在项目电子化交易系统中按要求上传相应证明文件并进行电子签章。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其他应说明的事项.docx 标的清单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标的清单 报价表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产品技术参数表 其他应说明的事项.docx 中小企业声明函 残疾人福利性单位声明函 商务应答表 标的清单 报价表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响应报价没有超过预算和最高限价。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竞争性磋商响应文件中项目名称、项目编号与本项目一致。</w:t>
            </w:r>
          </w:p>
        </w:tc>
        <w:tc>
          <w:tcPr>
            <w:tcW w:type="dxa" w:w="1661"/>
          </w:tcPr>
          <w:p>
            <w:pPr>
              <w:pStyle w:val="null3"/>
            </w:pPr>
            <w:r>
              <w:rPr>
                <w:rFonts w:ascii="仿宋_GB2312" w:hAnsi="仿宋_GB2312" w:cs="仿宋_GB2312" w:eastAsia="仿宋_GB2312"/>
              </w:rPr>
              <w:t>响应文件封面 产品技术参数表 其他应说明的事项.docx 中小企业声明函 残疾人福利性单位声明函 商务应答表 标的清单 报价表 响应函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没有出现法律法规或磋商文件规定的其他无效情形。</w:t>
            </w:r>
          </w:p>
        </w:tc>
        <w:tc>
          <w:tcPr>
            <w:tcW w:type="dxa" w:w="1661"/>
          </w:tcPr>
          <w:p>
            <w:pPr>
              <w:pStyle w:val="null3"/>
            </w:pPr>
            <w:r>
              <w:rPr>
                <w:rFonts w:ascii="仿宋_GB2312" w:hAnsi="仿宋_GB2312" w:cs="仿宋_GB2312" w:eastAsia="仿宋_GB2312"/>
              </w:rPr>
              <w:t>响应文件封面 产品技术参数表 其他应说明的事项.docx 中小企业声明函 残疾人福利性单位声明函 商务应答表 标的清单 报价表 响应函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非标“▲”的参数响应</w:t>
            </w:r>
          </w:p>
        </w:tc>
        <w:tc>
          <w:tcPr>
            <w:tcW w:type="dxa" w:w="2492"/>
          </w:tcPr>
          <w:p>
            <w:pPr>
              <w:pStyle w:val="null3"/>
            </w:pPr>
            <w:r>
              <w:rPr>
                <w:rFonts w:ascii="仿宋_GB2312" w:hAnsi="仿宋_GB2312" w:cs="仿宋_GB2312" w:eastAsia="仿宋_GB2312"/>
              </w:rPr>
              <w:t>非标“▲”的参数，根据提供所投产品的相关证明材料(包括但不限于产品彩页、检测报告、官网截图、说明书等齐全） ，上述评审内容全部满足评审标准得5分，每有一项负偏离扣0.5分，扣完为止。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标“▲”的参数响应</w:t>
            </w:r>
          </w:p>
        </w:tc>
        <w:tc>
          <w:tcPr>
            <w:tcW w:type="dxa" w:w="2492"/>
          </w:tcPr>
          <w:p>
            <w:pPr>
              <w:pStyle w:val="null3"/>
            </w:pPr>
            <w:r>
              <w:rPr>
                <w:rFonts w:ascii="仿宋_GB2312" w:hAnsi="仿宋_GB2312" w:cs="仿宋_GB2312" w:eastAsia="仿宋_GB2312"/>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供货渠道及质量保障</w:t>
            </w:r>
          </w:p>
        </w:tc>
        <w:tc>
          <w:tcPr>
            <w:tcW w:type="dxa" w:w="2492"/>
          </w:tcPr>
          <w:p>
            <w:pPr>
              <w:pStyle w:val="null3"/>
            </w:pPr>
            <w:r>
              <w:rPr>
                <w:rFonts w:ascii="仿宋_GB2312" w:hAnsi="仿宋_GB2312" w:cs="仿宋_GB2312" w:eastAsia="仿宋_GB2312"/>
              </w:rPr>
              <w:t>一、评审内容： 所提供的产品的①证明材料完整详尽②供应渠道正常：来源渠道正规检验手续合法有效、无产权纠纷、无假货、水货③产品质量保障：质量保证措施完善提供产品相关认证证书或代理协议或厂家授权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评审内容： 针对该项目提供实施方案：①供货组织安排，包括仓储、运输、交付、安装调试等内容；②装修实施方案、进度计划和安全控制方案；③组织机构人员配置、协调能力④防护方案等。 二、评审标准： 1.完整性：方案全面，对评审内容中的各项要求有详细阐述； 2.可实施性：切合本项目实际情况，提出步骤清晰、合理的方案； 3.针对性：方案能够紧扣项目实际情况，内容科学合理。 上述三项评审内容全部满足评审标准得20分，每有一个评审内容缺项扣5分，每一项评审内容中每出现一处缺陷扣1分，扣完为止。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提供所投产品2022年5月1日至今签订的供货合同或中标（成交）通知书，提供1份计0.5分，满分1分。注：代理商的业绩或制造商的业绩均认可；所附资料模糊不清视为无效业绩。</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针对该项目提供：①售后服务保障体系；②售后服务内容；③售后服务措施；④满足本地化售后服务的能力（提供相关证明材料）；⑤售后服务承诺， 二、评审标准： 1.完整性：方案全面，对评审内容中的各项要求有详细阐述； 2.可实施性：切合本项目实际情况，提出步骤清晰、合理的方案； 3.针对性：方案能够紧扣项目实际情况，内容科学合理。 上述五项评审内容全部满足评审标准得10分，每有一个评审内容缺项扣2分，每一项评审内容中每出现一处缺陷扣1分，扣完为止。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针对该项目提供技术培训方案：①制定培训课程计划表及培训内容（包括所提供设备的操作维护方法、调试、排除故障等方面）；②培训方式，培训方案详细合理，保证使用单位能熟练操作维护和正常使用 二、评审标准： 1.完整性：方案全面，对评审内容中的各项要求有详细阐述； 2.可实施性：切合本项目实际情况，提出步骤清晰、合理的方案； 3.针对性：方案能够紧扣项目实际情况，内容科学合理。 上述两项评审内容全部满足评审标准得8分，每有一个评审内容缺项扣4分，每一项评审内容中每出现一处缺陷扣1分，扣完为止。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计0.5分，每有一项为环境标志产品计0.5分，投标人投标产品中每有一项产品同时为节能产品和环境标志产品计1分，最多计1分。（节能环保产品须以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1.经初审合格的磋商响应文件，通过符合性审查的磋商报价为有效报价。对符合政策性扣减的有效磋商报价进行政策性扣减，并依据扣减后的价格（评审价格）进行价格评审。 2.满足磋商文件实质性要求且最终报价最低的供应商的价格为磋商基准价，其价格分为满分30分。 3.磋商报价得分=（磋商基准价/最终磋商报价）×30的公式计算得分。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