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4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其它说明</w:t>
      </w:r>
    </w:p>
    <w:p w14:paraId="68B16B01">
      <w:pPr>
        <w:rPr>
          <w:rFonts w:hint="eastAsia" w:ascii="仿宋" w:hAnsi="仿宋" w:eastAsia="仿宋" w:cs="仿宋"/>
          <w:color w:val="auto"/>
          <w:highlight w:val="none"/>
        </w:rPr>
      </w:pPr>
    </w:p>
    <w:p w14:paraId="085AB350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1.依据竞争性磋商文件要求，供应商认为有必要说明的其他内容。</w:t>
      </w:r>
    </w:p>
    <w:p w14:paraId="3B032F48">
      <w:r>
        <w:rPr>
          <w:rFonts w:hint="eastAsia" w:ascii="仿宋" w:hAnsi="仿宋" w:eastAsia="仿宋" w:cs="仿宋"/>
          <w:color w:val="auto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D2E35"/>
    <w:rsid w:val="12BD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2025-05-29T08:14:00Z</dcterms:created>
  <dc:creator>苍白假面</dc:creator>
  <cp:lastModifiedBy>苍白假面</cp:lastModifiedBy>
  <dcterms:modified xsi:type="dcterms:W3CDTF">2025-05-29T08:15:01Z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BC0014DA2EA1498FA5A3662FB1CB70EF_11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