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版本号：YWGL-ZC-2025-0010(2)20250619001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提升医疗服务能力设备购置(二次)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YWGL-ZC-2025-0010(2)</w:t>
      </w:r>
      <w:r>
        <w:br/>
      </w:r>
      <w:r>
        <w:br/>
      </w:r>
      <w:r>
        <w:br/>
      </w:r>
    </w:p>
    <w:p>
      <w:pPr>
        <w:pStyle w:val="null3"/>
        <w:jc w:val="center"/>
        <w:outlineLvl w:val="2"/>
      </w:pPr>
      <w:r>
        <w:rPr>
          <w:rFonts w:ascii="仿宋_GB2312" w:hAnsi="仿宋_GB2312" w:cs="仿宋_GB2312" w:eastAsia="仿宋_GB2312"/>
          <w:sz w:val="28"/>
          <w:b/>
        </w:rPr>
        <w:t>西安市莲湖区北院门庙后街社区卫生服务中心</w:t>
      </w:r>
    </w:p>
    <w:p>
      <w:pPr>
        <w:pStyle w:val="null3"/>
        <w:jc w:val="center"/>
        <w:outlineLvl w:val="2"/>
      </w:pPr>
      <w:r>
        <w:rPr>
          <w:rFonts w:ascii="仿宋_GB2312" w:hAnsi="仿宋_GB2312" w:cs="仿宋_GB2312" w:eastAsia="仿宋_GB2312"/>
          <w:sz w:val="28"/>
          <w:b/>
        </w:rPr>
        <w:t>陕西猷为项目管理有限公司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陕西猷为项目管理有限公司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西安市莲湖区北院门庙后街社区卫生服务中心</w:t>
      </w:r>
      <w:r>
        <w:rPr>
          <w:rFonts w:ascii="仿宋_GB2312" w:hAnsi="仿宋_GB2312" w:cs="仿宋_GB2312" w:eastAsia="仿宋_GB2312"/>
        </w:rPr>
        <w:t>委托，拟对</w:t>
      </w:r>
      <w:r>
        <w:rPr>
          <w:rFonts w:ascii="仿宋_GB2312" w:hAnsi="仿宋_GB2312" w:cs="仿宋_GB2312" w:eastAsia="仿宋_GB2312"/>
        </w:rPr>
        <w:t>提升医疗服务能力设备购置(二次)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YWGL-ZC-2025-0010(2)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提升医疗服务能力设备购置(二次)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提升医疗服务能力设备购置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采购包1（提升医疗服务能力设备购置）：属于专门面向中小企业采购。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1、履约能力承诺：提供具有履行合同所必需的设备和专业技术能力的承诺。供应商需在项目电子化交易系统中按要求上传相应证明文件并进行电子签章。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3、健全的财务会计制度的证明材料：提供具有财务审计资质单位出具的完整的赋码的2023年度或者2024年度财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p>
      <w:pPr>
        <w:pStyle w:val="null3"/>
      </w:pPr>
      <w:r>
        <w:rPr>
          <w:rFonts w:ascii="仿宋_GB2312" w:hAnsi="仿宋_GB2312" w:cs="仿宋_GB2312" w:eastAsia="仿宋_GB2312"/>
        </w:rPr>
        <w:t>4、税收缴纳证明：供应商提供2024年6月至今已缴纳的至少一个月的纳税证明或完税证明（除印花税以外的税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信用查询：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代理商的，须出具医疗器械经营许可证（或医疗器械经营备案凭证）和制造商的医疗器械生产许可证（或医疗器械生产备案凭证）；供应商为制造商的，须出具医疗器械生产许可证（或医疗器械生产备案凭证）。供应商需在项目电子化交易系统中按要求上传相应证明文件并进行电子签章。</w:t>
      </w:r>
    </w:p>
    <w:p>
      <w:pPr>
        <w:pStyle w:val="null3"/>
      </w:pPr>
      <w:r>
        <w:rPr>
          <w:rFonts w:ascii="仿宋_GB2312" w:hAnsi="仿宋_GB2312" w:cs="仿宋_GB2312" w:eastAsia="仿宋_GB2312"/>
        </w:rPr>
        <w:t>9、资质要求：提供所投产品的医疗器械注册证或医疗器械备案凭证。供应商需在项目电子化交易系统中按要求上传相应证明文件并进行电子签章。</w:t>
      </w:r>
    </w:p>
    <w:p>
      <w:pPr>
        <w:pStyle w:val="null3"/>
      </w:pPr>
      <w:r>
        <w:rPr>
          <w:rFonts w:ascii="仿宋_GB2312" w:hAnsi="仿宋_GB2312" w:cs="仿宋_GB2312" w:eastAsia="仿宋_GB2312"/>
        </w:rPr>
        <w:t>10、法定代表人或其授权委托书：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p>
      <w:pPr>
        <w:pStyle w:val="null3"/>
      </w:pPr>
      <w:r>
        <w:rPr>
          <w:rFonts w:ascii="仿宋_GB2312" w:hAnsi="仿宋_GB2312" w:cs="仿宋_GB2312" w:eastAsia="仿宋_GB2312"/>
        </w:rPr>
        <w:t>11、不接受联合体磋商：本项目不接受联合体磋商。供应商需在项目电子化交易系统中按要求上传相应证明文件并进行电子签章。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西安市莲湖区北院门庙后街社区卫生服务中心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西安市莲湖区庙后街169号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029-87243877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陕西猷为项目管理有限公司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西安市莲湖区五星街1号万德商务中心7楼10702室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朱静、邢郁苗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029-87400234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其中不足7000元的，按7000元收取。代理服务费账户：户名：陕西猷为项目管理有限公司；开户行：西安银行西华门西段支行；账号：213011540000064656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西安市莲湖区北院门庙后街社区卫生服务中心</w:t>
      </w:r>
      <w:r>
        <w:rPr>
          <w:rFonts w:ascii="仿宋_GB2312" w:hAnsi="仿宋_GB2312" w:cs="仿宋_GB2312" w:eastAsia="仿宋_GB2312"/>
        </w:rPr>
        <w:t>和</w:t>
      </w:r>
      <w:r>
        <w:rPr>
          <w:rFonts w:ascii="仿宋_GB2312" w:hAnsi="仿宋_GB2312" w:cs="仿宋_GB2312" w:eastAsia="仿宋_GB2312"/>
        </w:rPr>
        <w:t>陕西猷为项目管理有限公司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西安市莲湖区北院门庙后街社区卫生服务中心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陕西猷为项目管理有限公司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陕西猷为项目管理有限公司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联系人：李有为</w:t>
      </w:r>
    </w:p>
    <w:p>
      <w:pPr>
        <w:pStyle w:val="null3"/>
      </w:pPr>
      <w:r>
        <w:rPr>
          <w:rFonts w:ascii="仿宋_GB2312" w:hAnsi="仿宋_GB2312" w:cs="仿宋_GB2312" w:eastAsia="仿宋_GB2312"/>
        </w:rPr>
        <w:t>联系电话：029-87400234</w:t>
      </w:r>
    </w:p>
    <w:p>
      <w:pPr>
        <w:pStyle w:val="null3"/>
      </w:pPr>
      <w:r>
        <w:rPr>
          <w:rFonts w:ascii="仿宋_GB2312" w:hAnsi="仿宋_GB2312" w:cs="仿宋_GB2312" w:eastAsia="仿宋_GB2312"/>
        </w:rPr>
        <w:t>地址：西安市莲湖区五星街1号万德商务中心7楼10702室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提升医疗服务能力设备购置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数字化摄影X射线系统、机房辐射防护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标的名称：数字化摄影X射线系统、机房辐射防护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一、产品用途：用于头颅、颈椎、四肢、胸部、腹部等站立位、卧位和水平侧位的数字X线摄影系统。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▲二、整体要求 高压发生器、平板探测器、图像采集工作站需为同一品牌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高压发生器： 3.1最大输出功率≥50kW 3.2最大管电流≥630mA ▲3.3逆变频率≥450KHz</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X射线管：4.1焦点尺寸：小焦点≤0.6 mm,大焦点≥1.2 mm 4.2阳极热容量≥230 kHU</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数字平板探测器：5.1有效成像区域≥42cm×42 cm 5.2像素尺寸≤139μm 5.3空间分辨率≥3.6Lp/mm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X射线管支撑装置：6.1落地式机架，非U臂或UC臂。 ▲6.2机头绕水平轴旋转范围≥±180° 6.3立柱旋转范围≥±180°； 6.4机头沿立柱升降运动行程（电动）≥1250 mm 6.5球管侧具备触摸屏，屏幕尺寸≥9.7英寸：6.5.1触摸屏可显示机头离地面高度、机头与立式摄影架距离和机头旋转角度； 6.5.2触摸显示屏上进行机头与立式摄影架探测器盒具有一键跟踪功能；6.5.3具备高压同步功能，可调节相应曝光参数；6.5.4显示患者的详细登记信息；6.5.5操控触摸屏界面旋转可自动调整方向。</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摄影床：7.1床面尺寸≥2200×800 mm, 床面高度≤650mm。 7.2床面横向移动范围≥250mm，床面纵向移动范围≥900mm 7.3床下平板探测器运动行程≥520mm 7.4床下平板探测器可在线充电</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立式摄影架：▲8.1摄影架内探测器中心离地距离：≤350 mm，探测器运动行程：≥1400 mm。 8.2摄影架内平板探测器可在线充电 8.3机头和摄影架内探测器具备自动跟踪功能</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图像采集工作站及处理系统：9.1硬件配置：处理器：Intel Core i5及以上，内存≥4GB，硬盘≥500GB。9.2显示器尺寸≥21英寸 9.3支持图像拼接功能；9.4具备图像采集功能：具备摄影参数选择，3D人体部位选择，患者体型选择，检查项目选择等功能。9.5具备图像处理功能：具备窗宽、窗位调整，图像缩放、放大、旋转，图像标注，图像裁剪等功能。 9.6可进行尘肺矽肺筛查（提供软件著作权证书）。 9.7符合DICOM3.0标准：支持多项DICOM服务类别，如存储、传输、接收、查询、打印。 9.8支持远程医学影像诊断（提供软件著作权证书）。▲9.9具备组织均衡功能（提供软件著作权证书）。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相机参数: 10.1 打印分辨率≥320dpi 10.2胶片可散片装入 10.3可打印五胶片规格：14x17”，14″×14″，11″×14″，10″×12″，8″×10″ 10.4≥2个供片盒 10.5每个供片能盒兼容5种不同规格的胶片 10.6打印速度≥140张/小时（8x10） 10.7首张出片时间≤80s 10.8灰阶≥14bit 10.9符合DICOM3.0</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配置清单: 1.高压发生器：1台； 2.X射线管：1件； 3.限束器：1件； 4.摄影床：1件； 5.立式摄影架：1件； 6.平板探测器：1块； 7.滤线栅：1块； 8.图像处理系统：1套； 9.图像采集工作站：1台。 10.医用图像打印机：1台</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医用防护单开门：1.手动防护单开铅门；2.防护当量，≥3mmpb 铅当量</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医用防护电动平移门：1.自动防护铅门 2.防护当量，≥3mmpb 铅当量 3.设置防夹装置，设置地槽射线防护装置</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电动装置：移门电机、感应光幕接口、警示标、工作指示灯（警示灯）、门机灯连 锁、五金等设计及相关规范要求中的所有费用</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预控评：办理放射诊疗许可证</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环评：办理辐射安全许可证</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整体要求：设备安装前需负责机房的设计和防护配套，确保机房能满足GBZ130-2020国家标准和设备的安装要求。需完成预控评验收、放射诊疗资质、辐射安全资质办理等其他全部前期准备工作,包括环境、配套设施、各项审批手续等，达到设备进场后能够直接运行使用的条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设备运行满一年后，无任何问题，支付剩余的合同金额</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整机原厂质保至少2年。质保期内供应商提供免费维修及免费软件升级服务；（如供货商为代理商，在装机验收时需向采购人提供与厂家签订的针对所供货物的质保期保修协议）质保期内，设备不能正常使用超过七日时，投标人应提供备用机，质保期相应顺延。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1、本项目的核心产品为：数字X线摄影系统。 2、各供应商需在响应文件提交截止时间前向采购代理机构提交纸质版响应文件正本一份，副本二份，电子U盘一份(响应文件内容与电子版一致)。线下递交文件地点:西安市莲湖区五星街1号万德商务中心7楼10702室。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其他应说明的事项.docx 中小企业声明函 供应商资格证明文件.docx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其他应说明的事项.docx 供应商资格证明文件.docx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赋码的2023年度或者2024年度财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6月至今已缴纳的至少一个月的纳税证明或完税证明（除印花税以外的税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代理商的，须出具医疗器械经营许可证（或医疗器械经营备案凭证）和制造商的医疗器械生产许可证（或医疗器械生产备案凭证）；供应商为制造商的，须出具医疗器械生产许可证（或医疗器械生产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产品技术参数表 其他应说明的事项.docx 标的清单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提供所投产品的医疗器械注册证或医疗器械备案凭证。供应商需在项目电子化交易系统中按要求上传相应证明文件并进行电子签章。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产品技术参数表 其他应说明的事项.docx 标的清单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产品技术参数表 中小企业声明函 标的清单 报价表 商务应答表.docx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产品技术参数表 其他应说明的事项.docx 中小企业声明函 残疾人福利性单位声明函 标的清单 报价表 商务应答表.docx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响应报价没有超过预算和最高限价。</w:t>
            </w:r>
          </w:p>
        </w:tc>
        <w:tc>
          <w:tcPr>
            <w:tcW w:type="dxa" w:w="1661"/>
          </w:tcPr>
          <w:p>
            <w:pPr>
              <w:pStyle w:val="null3"/>
            </w:pPr>
            <w:r>
              <w:rPr>
                <w:rFonts w:ascii="仿宋_GB2312" w:hAnsi="仿宋_GB2312" w:cs="仿宋_GB2312" w:eastAsia="仿宋_GB2312"/>
              </w:rPr>
              <w:t>响应文件封面 产品技术参数表 标的清单 报价表 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报价表 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竞争性磋商响应文件中项目名称、项目编号与本项目一致。</w:t>
            </w:r>
          </w:p>
        </w:tc>
        <w:tc>
          <w:tcPr>
            <w:tcW w:type="dxa" w:w="1661"/>
          </w:tcPr>
          <w:p>
            <w:pPr>
              <w:pStyle w:val="null3"/>
            </w:pPr>
            <w:r>
              <w:rPr>
                <w:rFonts w:ascii="仿宋_GB2312" w:hAnsi="仿宋_GB2312" w:cs="仿宋_GB2312" w:eastAsia="仿宋_GB2312"/>
              </w:rPr>
              <w:t>中小企业声明函 供货服务方案.docx 报价表 商务应答表.docx 供应商承诺书.docx 响应文件封面 产品技术参数表 其他应说明的事项.docx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没有出现法律法规或磋商文件规定的其他无效情形。</w:t>
            </w:r>
          </w:p>
        </w:tc>
        <w:tc>
          <w:tcPr>
            <w:tcW w:type="dxa" w:w="1661"/>
          </w:tcPr>
          <w:p>
            <w:pPr>
              <w:pStyle w:val="null3"/>
            </w:pPr>
            <w:r>
              <w:rPr>
                <w:rFonts w:ascii="仿宋_GB2312" w:hAnsi="仿宋_GB2312" w:cs="仿宋_GB2312" w:eastAsia="仿宋_GB2312"/>
              </w:rPr>
              <w:t>中小企业声明函 供货服务方案.docx 报价表 商务应答表.docx 供应商承诺书.docx 响应文件封面 产品技术参数表 其他应说明的事项.docx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须完全响应竞争性磋商文件商务要求条款，无负偏离；响应内容不得含有采购人不能接受的附加条件。</w:t>
            </w:r>
          </w:p>
        </w:tc>
        <w:tc>
          <w:tcPr>
            <w:tcW w:type="dxa" w:w="1661"/>
          </w:tcPr>
          <w:p>
            <w:pPr>
              <w:pStyle w:val="null3"/>
            </w:pPr>
            <w:r>
              <w:rPr>
                <w:rFonts w:ascii="仿宋_GB2312" w:hAnsi="仿宋_GB2312" w:cs="仿宋_GB2312" w:eastAsia="仿宋_GB2312"/>
              </w:rPr>
              <w:t>中小企业声明函 供货服务方案.docx 商务应答表.docx 报价表 供应商承诺书.docx 响应文件封面 产品技术参数表 其他应说明的事项.docx 残疾人福利性单位声明函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非标“▲”的参数响应</w:t>
            </w:r>
          </w:p>
        </w:tc>
        <w:tc>
          <w:tcPr>
            <w:tcW w:type="dxa" w:w="2492"/>
          </w:tcPr>
          <w:p>
            <w:pPr>
              <w:pStyle w:val="null3"/>
            </w:pPr>
            <w:r>
              <w:rPr>
                <w:rFonts w:ascii="仿宋_GB2312" w:hAnsi="仿宋_GB2312" w:cs="仿宋_GB2312" w:eastAsia="仿宋_GB2312"/>
              </w:rPr>
              <w:t>非标“▲”的参数，根据提供所投产品的相关证明材料(包括但不限于产品彩页、检测报告、官网截图、说明书等齐全） ，上述评审内容全部满足评审标准得5分，每有一项负偏离扣0.5分，扣完为止。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标“▲”的参数响应</w:t>
            </w:r>
          </w:p>
        </w:tc>
        <w:tc>
          <w:tcPr>
            <w:tcW w:type="dxa" w:w="2492"/>
          </w:tcPr>
          <w:p>
            <w:pPr>
              <w:pStyle w:val="null3"/>
            </w:pPr>
            <w:r>
              <w:rPr>
                <w:rFonts w:ascii="仿宋_GB2312" w:hAnsi="仿宋_GB2312" w:cs="仿宋_GB2312" w:eastAsia="仿宋_GB2312"/>
              </w:rPr>
              <w:t>标“▲”的参数，技术要求完全符合、满足磋商文件技术要求的，供应商提供相应的产品检测报告或技术说明或产品彩页或官网功能截图等作为佐证依据，未提供或所提供材料模糊不清或所提供材料无法有效证明的视为不满足本参数要求。上述评审内容全部满足评审标准得16分，“▲”号技术参数为重要参数，每有一项负偏离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供货渠道及质量保障</w:t>
            </w:r>
          </w:p>
        </w:tc>
        <w:tc>
          <w:tcPr>
            <w:tcW w:type="dxa" w:w="2492"/>
          </w:tcPr>
          <w:p>
            <w:pPr>
              <w:pStyle w:val="null3"/>
            </w:pPr>
            <w:r>
              <w:rPr>
                <w:rFonts w:ascii="仿宋_GB2312" w:hAnsi="仿宋_GB2312" w:cs="仿宋_GB2312" w:eastAsia="仿宋_GB2312"/>
              </w:rPr>
              <w:t>一、评审内容： 所提供的产品的①证明材料完整详尽②供应渠道正常：来源渠道正规检验手续合法有效、无产权纠纷、无假货、水货③产品质量保障：质量保证措施完善提供产品相关认证证书或代理协议或厂家授权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评审内容： 针对该项目提供实施方案：①供货组织安排，包括仓储、运输、交付、安装调试等内容；②进度计划和安全控制方案；③组织机构人员配置、协调能力④防护方案等。 二、评审标准： 1.完整性：方案全面，对评审内容中的各项要求有详细阐述； 2.可实施性：切合本项目实际情况，提出步骤清晰、合理的方案； 3.针对性：方案能够紧扣项目实际情况，内容科学合理。 上述四项评审内容全部满足评审标准得20分，每有一个评审内容缺项扣5分，每一项评审内容中每出现一处缺陷扣1分，扣完为止。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提供2022年6月1日至今签订的同类供货合同或中标（成交）通知书，提供1份计0.5分，满分1分。注：代理商的业绩或制造商的业绩均认可；所附资料模糊不清视为无效业绩。</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针对该项目提供：①售后服务保障体系；②售后服务内容；③售后服务措施；④满足本地化售后服务的能力（提供相关证明材料）；⑤售后服务承诺。 二、评审标准： 1.完整性：方案全面，对评审内容中的各项要求有详细阐述； 2.可实施性：切合本项目实际情况，提出步骤清晰、合理的方案； 3.针对性：方案能够紧扣项目实际情况，内容科学合理。 上述五项评审内容全部满足评审标准得10分，每有一个评审内容缺项扣2分，每一项评审内容中每出现一处缺陷扣0.5分，扣完为止。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针对该项目提供技术培训方案：①制定培训课程计划表及培训内容（包括所提供设备的操作维护方法、调试、排除故障等方面）；②培训方式，培训方案详细合理，保证使用单位能熟练操作维护和正常使用 二、评审标准： 1.完整性：方案全面，对评审内容中的各项要求有详细阐述； 2.可实施性：切合本项目实际情况，提出步骤清晰、合理的方案； 3.针对性：方案能够紧扣项目实际情况，内容科学合理。 上述两项评审内容全部满足评审标准得8分，每有一个评审内容缺项扣4分，每一项评审内容中每出现一处缺陷扣1分，扣完为止。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中每有一项为节能产品计0.5分，每有一项为环境标志产品计0.5分，供应商所投产品中每有一项产品同时为节能产品和环境标志产品计1分，最多计1分。（节能环保产品须以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1.经初审合格的磋商响应文件，通过符合性审查的磋商报价为有效报价。 2.满足磋商文件实质性要求且最终报价最低的供应商的价格为磋商基准价，其价格分为满分30分。 3.磋商报价得分=（磋商基准价/最终磋商报价）×30的公式计算得分。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