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A41C05">
      <w:pPr>
        <w:spacing w:before="124" w:line="220" w:lineRule="auto"/>
        <w:ind w:left="1048"/>
        <w:outlineLvl w:val="0"/>
        <w:rPr>
          <w:rFonts w:hint="eastAsia" w:ascii="宋体" w:hAnsi="宋体" w:eastAsia="宋体" w:cs="宋体"/>
          <w:spacing w:val="1"/>
          <w:sz w:val="24"/>
          <w:szCs w:val="24"/>
        </w:rPr>
      </w:pPr>
    </w:p>
    <w:p w14:paraId="25813516">
      <w:pPr>
        <w:spacing w:before="124" w:line="220" w:lineRule="auto"/>
        <w:ind w:left="1048"/>
        <w:outlineLvl w:val="0"/>
        <w:rPr>
          <w:rFonts w:hint="eastAsia" w:ascii="宋体" w:hAnsi="宋体" w:eastAsia="宋体" w:cs="宋体"/>
          <w:spacing w:val="1"/>
          <w:sz w:val="24"/>
          <w:szCs w:val="24"/>
        </w:rPr>
      </w:pPr>
    </w:p>
    <w:p w14:paraId="3125DBE1">
      <w:pPr>
        <w:spacing w:before="124" w:line="220" w:lineRule="auto"/>
        <w:ind w:left="1048"/>
        <w:outlineLvl w:val="0"/>
        <w:rPr>
          <w:rFonts w:hint="eastAsia" w:ascii="宋体" w:hAnsi="宋体" w:eastAsia="宋体" w:cs="宋体"/>
          <w:spacing w:val="1"/>
          <w:sz w:val="24"/>
          <w:szCs w:val="24"/>
        </w:rPr>
      </w:pPr>
    </w:p>
    <w:p w14:paraId="5EE816D4">
      <w:pPr>
        <w:spacing w:before="124" w:line="220" w:lineRule="auto"/>
        <w:ind w:left="1048"/>
        <w:outlineLvl w:val="0"/>
        <w:rPr>
          <w:rFonts w:hint="eastAsia" w:ascii="宋体" w:hAnsi="宋体" w:eastAsia="宋体" w:cs="宋体"/>
          <w:spacing w:val="1"/>
          <w:sz w:val="24"/>
          <w:szCs w:val="24"/>
        </w:rPr>
      </w:pPr>
    </w:p>
    <w:p w14:paraId="4F8CA410">
      <w:pPr>
        <w:spacing w:before="124" w:line="220" w:lineRule="auto"/>
        <w:ind w:left="1048"/>
        <w:outlineLvl w:val="0"/>
        <w:rPr>
          <w:rFonts w:hint="eastAsia" w:ascii="宋体" w:hAnsi="宋体" w:eastAsia="宋体" w:cs="宋体"/>
          <w:spacing w:val="1"/>
          <w:sz w:val="24"/>
          <w:szCs w:val="24"/>
        </w:rPr>
      </w:pPr>
    </w:p>
    <w:p w14:paraId="28026D4C">
      <w:pPr>
        <w:spacing w:before="124" w:line="220" w:lineRule="auto"/>
        <w:ind w:left="1048"/>
        <w:outlineLvl w:val="0"/>
        <w:rPr>
          <w:rFonts w:hint="eastAsia" w:ascii="宋体" w:hAnsi="宋体" w:eastAsia="宋体" w:cs="宋体"/>
          <w:spacing w:val="1"/>
          <w:sz w:val="24"/>
          <w:szCs w:val="24"/>
        </w:rPr>
      </w:pPr>
    </w:p>
    <w:p w14:paraId="507E9990">
      <w:pPr>
        <w:spacing w:before="124" w:line="220" w:lineRule="auto"/>
        <w:jc w:val="center"/>
        <w:outlineLvl w:val="0"/>
        <w:rPr>
          <w:rFonts w:hint="eastAsia" w:ascii="宋体" w:hAnsi="宋体" w:eastAsia="宋体" w:cs="宋体"/>
          <w:sz w:val="48"/>
          <w:szCs w:val="48"/>
        </w:rPr>
      </w:pPr>
      <w:r>
        <w:rPr>
          <w:rFonts w:hint="eastAsia" w:ascii="宋体" w:hAnsi="宋体" w:eastAsia="宋体" w:cs="宋体"/>
          <w:spacing w:val="1"/>
          <w:sz w:val="48"/>
          <w:szCs w:val="48"/>
        </w:rPr>
        <w:t>政府采购项目采购需求</w:t>
      </w:r>
    </w:p>
    <w:p w14:paraId="402112DC">
      <w:pPr>
        <w:spacing w:line="251" w:lineRule="auto"/>
        <w:rPr>
          <w:rFonts w:hint="eastAsia" w:ascii="宋体" w:hAnsi="宋体" w:eastAsia="宋体" w:cs="宋体"/>
          <w:sz w:val="24"/>
          <w:szCs w:val="24"/>
        </w:rPr>
      </w:pPr>
    </w:p>
    <w:p w14:paraId="2B53D7D7">
      <w:pPr>
        <w:spacing w:line="251" w:lineRule="auto"/>
        <w:rPr>
          <w:rFonts w:hint="eastAsia" w:ascii="宋体" w:hAnsi="宋体" w:eastAsia="宋体" w:cs="宋体"/>
          <w:sz w:val="24"/>
          <w:szCs w:val="24"/>
        </w:rPr>
      </w:pPr>
    </w:p>
    <w:p w14:paraId="5163EA23">
      <w:pPr>
        <w:spacing w:line="251" w:lineRule="auto"/>
        <w:rPr>
          <w:rFonts w:hint="eastAsia" w:ascii="宋体" w:hAnsi="宋体" w:eastAsia="宋体" w:cs="宋体"/>
          <w:sz w:val="24"/>
          <w:szCs w:val="24"/>
        </w:rPr>
      </w:pPr>
    </w:p>
    <w:p w14:paraId="011F9B92">
      <w:pPr>
        <w:spacing w:line="251" w:lineRule="auto"/>
        <w:rPr>
          <w:rFonts w:hint="eastAsia" w:ascii="宋体" w:hAnsi="宋体" w:eastAsia="宋体" w:cs="宋体"/>
          <w:sz w:val="24"/>
          <w:szCs w:val="24"/>
        </w:rPr>
      </w:pPr>
    </w:p>
    <w:p w14:paraId="09C04B99">
      <w:pPr>
        <w:spacing w:line="252" w:lineRule="auto"/>
        <w:rPr>
          <w:rFonts w:hint="eastAsia" w:ascii="宋体" w:hAnsi="宋体" w:eastAsia="宋体" w:cs="宋体"/>
          <w:sz w:val="24"/>
          <w:szCs w:val="24"/>
        </w:rPr>
      </w:pPr>
    </w:p>
    <w:p w14:paraId="58AD10AE">
      <w:pPr>
        <w:spacing w:line="252" w:lineRule="auto"/>
        <w:rPr>
          <w:rFonts w:hint="eastAsia" w:ascii="宋体" w:hAnsi="宋体" w:eastAsia="宋体" w:cs="宋体"/>
          <w:sz w:val="24"/>
          <w:szCs w:val="24"/>
        </w:rPr>
      </w:pPr>
    </w:p>
    <w:p w14:paraId="646C6A2E">
      <w:pPr>
        <w:spacing w:line="252" w:lineRule="auto"/>
        <w:rPr>
          <w:rFonts w:hint="eastAsia" w:ascii="宋体" w:hAnsi="宋体" w:eastAsia="宋体" w:cs="宋体"/>
          <w:sz w:val="24"/>
          <w:szCs w:val="24"/>
        </w:rPr>
      </w:pPr>
    </w:p>
    <w:p w14:paraId="06A1D5D5">
      <w:pPr>
        <w:spacing w:line="252" w:lineRule="auto"/>
        <w:rPr>
          <w:rFonts w:hint="eastAsia" w:ascii="宋体" w:hAnsi="宋体" w:eastAsia="宋体" w:cs="宋体"/>
          <w:sz w:val="24"/>
          <w:szCs w:val="24"/>
        </w:rPr>
      </w:pPr>
    </w:p>
    <w:p w14:paraId="1A174BA3">
      <w:pPr>
        <w:spacing w:line="252" w:lineRule="auto"/>
        <w:rPr>
          <w:rFonts w:hint="eastAsia" w:ascii="宋体" w:hAnsi="宋体" w:eastAsia="宋体" w:cs="宋体"/>
          <w:sz w:val="24"/>
          <w:szCs w:val="24"/>
        </w:rPr>
      </w:pPr>
    </w:p>
    <w:p w14:paraId="59631FDB">
      <w:pPr>
        <w:spacing w:line="252" w:lineRule="auto"/>
        <w:rPr>
          <w:rFonts w:hint="eastAsia" w:ascii="宋体" w:hAnsi="宋体" w:eastAsia="宋体" w:cs="宋体"/>
          <w:sz w:val="24"/>
          <w:szCs w:val="24"/>
        </w:rPr>
      </w:pPr>
    </w:p>
    <w:p w14:paraId="34445F8E">
      <w:pPr>
        <w:spacing w:line="252" w:lineRule="auto"/>
        <w:rPr>
          <w:rFonts w:hint="eastAsia" w:ascii="宋体" w:hAnsi="宋体" w:eastAsia="宋体" w:cs="宋体"/>
          <w:sz w:val="24"/>
          <w:szCs w:val="24"/>
        </w:rPr>
      </w:pPr>
    </w:p>
    <w:p w14:paraId="0E6EF83B">
      <w:pPr>
        <w:spacing w:line="252" w:lineRule="auto"/>
        <w:rPr>
          <w:rFonts w:hint="eastAsia" w:ascii="宋体" w:hAnsi="宋体" w:eastAsia="宋体" w:cs="宋体"/>
          <w:sz w:val="24"/>
          <w:szCs w:val="24"/>
        </w:rPr>
      </w:pPr>
    </w:p>
    <w:p w14:paraId="2390B0AC">
      <w:pPr>
        <w:spacing w:line="252" w:lineRule="auto"/>
        <w:rPr>
          <w:rFonts w:hint="eastAsia" w:ascii="宋体" w:hAnsi="宋体" w:eastAsia="宋体" w:cs="宋体"/>
          <w:sz w:val="24"/>
          <w:szCs w:val="24"/>
        </w:rPr>
      </w:pPr>
    </w:p>
    <w:p w14:paraId="42F859D3">
      <w:pPr>
        <w:spacing w:line="252" w:lineRule="auto"/>
        <w:rPr>
          <w:rFonts w:hint="eastAsia" w:ascii="宋体" w:hAnsi="宋体" w:eastAsia="宋体" w:cs="宋体"/>
          <w:sz w:val="24"/>
          <w:szCs w:val="24"/>
        </w:rPr>
      </w:pPr>
    </w:p>
    <w:p w14:paraId="456A50F1">
      <w:pPr>
        <w:spacing w:line="252" w:lineRule="auto"/>
        <w:rPr>
          <w:rFonts w:hint="eastAsia" w:ascii="宋体" w:hAnsi="宋体" w:eastAsia="宋体" w:cs="宋体"/>
          <w:sz w:val="24"/>
          <w:szCs w:val="24"/>
        </w:rPr>
      </w:pPr>
    </w:p>
    <w:p w14:paraId="5CAD906C">
      <w:pPr>
        <w:spacing w:line="252" w:lineRule="auto"/>
        <w:rPr>
          <w:rFonts w:hint="eastAsia" w:ascii="宋体" w:hAnsi="宋体" w:eastAsia="宋体" w:cs="宋体"/>
          <w:sz w:val="24"/>
          <w:szCs w:val="24"/>
        </w:rPr>
      </w:pPr>
    </w:p>
    <w:p w14:paraId="5B021DFB">
      <w:pPr>
        <w:spacing w:line="252" w:lineRule="auto"/>
        <w:rPr>
          <w:rFonts w:hint="eastAsia" w:ascii="宋体" w:hAnsi="宋体" w:eastAsia="宋体" w:cs="宋体"/>
          <w:sz w:val="24"/>
          <w:szCs w:val="24"/>
        </w:rPr>
      </w:pPr>
    </w:p>
    <w:p w14:paraId="42CEF779">
      <w:pPr>
        <w:spacing w:line="252" w:lineRule="auto"/>
        <w:rPr>
          <w:rFonts w:hint="eastAsia" w:ascii="宋体" w:hAnsi="宋体" w:eastAsia="宋体" w:cs="宋体"/>
          <w:sz w:val="24"/>
          <w:szCs w:val="24"/>
        </w:rPr>
      </w:pPr>
    </w:p>
    <w:p w14:paraId="69891E75">
      <w:pPr>
        <w:spacing w:line="252" w:lineRule="auto"/>
        <w:rPr>
          <w:rFonts w:hint="eastAsia" w:ascii="宋体" w:hAnsi="宋体" w:eastAsia="宋体" w:cs="宋体"/>
          <w:sz w:val="24"/>
          <w:szCs w:val="24"/>
        </w:rPr>
      </w:pPr>
    </w:p>
    <w:p w14:paraId="63EEB74D">
      <w:pPr>
        <w:spacing w:before="68" w:line="224" w:lineRule="auto"/>
        <w:jc w:val="center"/>
        <w:rPr>
          <w:rFonts w:hint="eastAsia" w:ascii="宋体" w:hAnsi="宋体" w:eastAsia="宋体" w:cs="宋体"/>
          <w:sz w:val="24"/>
          <w:szCs w:val="24"/>
        </w:rPr>
      </w:pPr>
      <w:r>
        <w:rPr>
          <w:rFonts w:hint="eastAsia" w:ascii="宋体" w:hAnsi="宋体" w:eastAsia="宋体" w:cs="宋体"/>
          <w:spacing w:val="5"/>
          <w:sz w:val="24"/>
          <w:szCs w:val="24"/>
        </w:rPr>
        <w:t>采购单位：西安市莲湖区北院门庙后街社区卫生服务中心</w:t>
      </w:r>
    </w:p>
    <w:p w14:paraId="39AE54D5">
      <w:pPr>
        <w:spacing w:before="309" w:line="213" w:lineRule="auto"/>
        <w:jc w:val="center"/>
        <w:rPr>
          <w:rFonts w:hint="eastAsia" w:ascii="宋体" w:hAnsi="宋体" w:eastAsia="宋体" w:cs="宋体"/>
          <w:sz w:val="24"/>
          <w:szCs w:val="24"/>
        </w:rPr>
      </w:pPr>
      <w:r>
        <w:rPr>
          <w:rFonts w:hint="eastAsia" w:ascii="宋体" w:hAnsi="宋体" w:eastAsia="宋体" w:cs="宋体"/>
          <w:spacing w:val="4"/>
          <w:sz w:val="24"/>
          <w:szCs w:val="24"/>
        </w:rPr>
        <w:t>所属年度：2025年</w:t>
      </w:r>
    </w:p>
    <w:p w14:paraId="4A9D4DBB">
      <w:pPr>
        <w:spacing w:before="276" w:line="225" w:lineRule="auto"/>
        <w:jc w:val="center"/>
        <w:rPr>
          <w:rFonts w:hint="eastAsia" w:ascii="宋体" w:hAnsi="宋体" w:eastAsia="宋体" w:cs="宋体"/>
          <w:sz w:val="24"/>
          <w:szCs w:val="24"/>
        </w:rPr>
      </w:pPr>
      <w:r>
        <w:rPr>
          <w:rFonts w:hint="eastAsia" w:ascii="宋体" w:hAnsi="宋体" w:eastAsia="宋体" w:cs="宋体"/>
          <w:spacing w:val="5"/>
          <w:sz w:val="24"/>
          <w:szCs w:val="24"/>
        </w:rPr>
        <w:t>编制单位：西安市莲湖区北院门庙后街社区卫生服务中心</w:t>
      </w:r>
    </w:p>
    <w:p w14:paraId="295012C9">
      <w:pPr>
        <w:spacing w:before="309" w:line="213" w:lineRule="auto"/>
        <w:jc w:val="center"/>
        <w:rPr>
          <w:rFonts w:hint="eastAsia" w:ascii="宋体" w:hAnsi="宋体" w:eastAsia="宋体" w:cs="宋体"/>
          <w:sz w:val="24"/>
          <w:szCs w:val="24"/>
        </w:rPr>
      </w:pPr>
      <w:r>
        <w:rPr>
          <w:rFonts w:hint="eastAsia" w:ascii="宋体" w:hAnsi="宋体" w:eastAsia="宋体" w:cs="宋体"/>
          <w:spacing w:val="4"/>
          <w:sz w:val="24"/>
          <w:szCs w:val="24"/>
        </w:rPr>
        <w:t>编制时间：2025年</w:t>
      </w:r>
      <w:r>
        <w:rPr>
          <w:rFonts w:hint="eastAsia" w:ascii="宋体" w:hAnsi="宋体" w:eastAsia="宋体" w:cs="宋体"/>
          <w:spacing w:val="4"/>
          <w:sz w:val="24"/>
          <w:szCs w:val="24"/>
          <w:lang w:val="en-US" w:eastAsia="zh-CN"/>
        </w:rPr>
        <w:t>06</w:t>
      </w:r>
      <w:r>
        <w:rPr>
          <w:rFonts w:hint="eastAsia" w:ascii="宋体" w:hAnsi="宋体" w:eastAsia="宋体" w:cs="宋体"/>
          <w:spacing w:val="4"/>
          <w:sz w:val="24"/>
          <w:szCs w:val="24"/>
        </w:rPr>
        <w:t>月2</w:t>
      </w:r>
      <w:r>
        <w:rPr>
          <w:rFonts w:hint="eastAsia" w:ascii="宋体" w:hAnsi="宋体" w:eastAsia="宋体" w:cs="宋体"/>
          <w:spacing w:val="4"/>
          <w:sz w:val="24"/>
          <w:szCs w:val="24"/>
          <w:lang w:val="en-US" w:eastAsia="zh-CN"/>
        </w:rPr>
        <w:t>4</w:t>
      </w:r>
      <w:r>
        <w:rPr>
          <w:rFonts w:hint="eastAsia" w:ascii="宋体" w:hAnsi="宋体" w:eastAsia="宋体" w:cs="宋体"/>
          <w:spacing w:val="4"/>
          <w:sz w:val="24"/>
          <w:szCs w:val="24"/>
        </w:rPr>
        <w:t>日</w:t>
      </w:r>
    </w:p>
    <w:p w14:paraId="4AF216CF">
      <w:pPr>
        <w:spacing w:line="213" w:lineRule="auto"/>
        <w:rPr>
          <w:rFonts w:hint="eastAsia" w:ascii="宋体" w:hAnsi="宋体" w:eastAsia="宋体" w:cs="宋体"/>
          <w:sz w:val="24"/>
          <w:szCs w:val="24"/>
        </w:rPr>
        <w:sectPr>
          <w:footerReference r:id="rId5" w:type="default"/>
          <w:pgSz w:w="11900" w:h="16840"/>
          <w:pgMar w:top="917" w:right="1741" w:bottom="276" w:left="1785" w:header="624" w:footer="624" w:gutter="0"/>
          <w:cols w:space="720" w:num="1"/>
        </w:sectPr>
      </w:pPr>
    </w:p>
    <w:p w14:paraId="7FC7B46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textAlignment w:val="baseline"/>
        <w:outlineLvl w:val="0"/>
        <w:rPr>
          <w:rFonts w:hint="eastAsia" w:ascii="宋体" w:hAnsi="宋体" w:eastAsia="宋体" w:cs="宋体"/>
          <w:sz w:val="24"/>
          <w:szCs w:val="24"/>
        </w:rPr>
      </w:pPr>
      <w:r>
        <w:rPr>
          <w:rFonts w:hint="eastAsia" w:ascii="宋体" w:hAnsi="宋体" w:eastAsia="宋体" w:cs="宋体"/>
          <w:spacing w:val="4"/>
          <w:sz w:val="24"/>
          <w:szCs w:val="24"/>
        </w:rPr>
        <w:t>一、项目总体情况</w:t>
      </w:r>
    </w:p>
    <w:p w14:paraId="67D631E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rPr>
        <w:t>（一）项目名称：提升医疗服务能力设备购置</w:t>
      </w:r>
      <w:r>
        <w:rPr>
          <w:rFonts w:hint="eastAsia" w:cs="宋体"/>
          <w:sz w:val="24"/>
          <w:szCs w:val="24"/>
          <w:lang w:eastAsia="zh-CN"/>
        </w:rPr>
        <w:t>（</w:t>
      </w:r>
      <w:r>
        <w:rPr>
          <w:rFonts w:hint="eastAsia" w:cs="宋体"/>
          <w:sz w:val="24"/>
          <w:szCs w:val="24"/>
          <w:lang w:val="en-US" w:eastAsia="zh-CN"/>
        </w:rPr>
        <w:t>二次</w:t>
      </w:r>
      <w:r>
        <w:rPr>
          <w:rFonts w:hint="eastAsia" w:cs="宋体"/>
          <w:sz w:val="24"/>
          <w:szCs w:val="24"/>
          <w:lang w:eastAsia="zh-CN"/>
        </w:rPr>
        <w:t>）</w:t>
      </w:r>
    </w:p>
    <w:p w14:paraId="3969ED1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（二）项目所属年度：</w:t>
      </w:r>
      <w:r>
        <w:rPr>
          <w:rFonts w:hint="eastAsia" w:ascii="宋体" w:hAnsi="宋体" w:eastAsia="宋体" w:cs="宋体"/>
          <w:spacing w:val="-18"/>
          <w:sz w:val="24"/>
          <w:szCs w:val="24"/>
        </w:rPr>
        <w:t xml:space="preserve"> </w:t>
      </w:r>
      <w:r>
        <w:rPr>
          <w:rFonts w:hint="eastAsia" w:ascii="宋体" w:hAnsi="宋体" w:eastAsia="宋体" w:cs="宋体"/>
          <w:sz w:val="24"/>
          <w:szCs w:val="24"/>
        </w:rPr>
        <w:t>2025年</w:t>
      </w:r>
    </w:p>
    <w:p w14:paraId="26FC506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（三）项目所属分类：</w:t>
      </w:r>
      <w:r>
        <w:rPr>
          <w:rFonts w:hint="eastAsia" w:ascii="宋体" w:hAnsi="宋体" w:eastAsia="宋体" w:cs="宋体"/>
          <w:spacing w:val="-15"/>
          <w:sz w:val="24"/>
          <w:szCs w:val="24"/>
        </w:rPr>
        <w:t xml:space="preserve"> </w:t>
      </w:r>
      <w:r>
        <w:rPr>
          <w:rFonts w:hint="eastAsia" w:ascii="宋体" w:hAnsi="宋体" w:eastAsia="宋体" w:cs="宋体"/>
          <w:spacing w:val="-1"/>
          <w:sz w:val="24"/>
          <w:szCs w:val="24"/>
        </w:rPr>
        <w:t>货物</w:t>
      </w:r>
    </w:p>
    <w:p w14:paraId="79A2513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（四）预算金额（元</w:t>
      </w:r>
      <w:r>
        <w:rPr>
          <w:rFonts w:hint="eastAsia" w:ascii="宋体" w:hAnsi="宋体" w:eastAsia="宋体" w:cs="宋体"/>
          <w:spacing w:val="14"/>
          <w:sz w:val="24"/>
          <w:szCs w:val="24"/>
        </w:rPr>
        <w:t>）：</w:t>
      </w:r>
      <w:r>
        <w:rPr>
          <w:rFonts w:hint="eastAsia" w:ascii="宋体" w:hAnsi="宋体" w:eastAsia="宋体" w:cs="宋体"/>
          <w:spacing w:val="-1"/>
          <w:sz w:val="24"/>
          <w:szCs w:val="24"/>
        </w:rPr>
        <w:t>600,000.00元 ，大写（人民币</w:t>
      </w:r>
      <w:r>
        <w:rPr>
          <w:rFonts w:hint="eastAsia" w:ascii="宋体" w:hAnsi="宋体" w:eastAsia="宋体" w:cs="宋体"/>
          <w:spacing w:val="14"/>
          <w:sz w:val="24"/>
          <w:szCs w:val="24"/>
        </w:rPr>
        <w:t>）：</w:t>
      </w:r>
      <w:r>
        <w:rPr>
          <w:rFonts w:hint="eastAsia" w:ascii="宋体" w:hAnsi="宋体" w:eastAsia="宋体" w:cs="宋体"/>
          <w:spacing w:val="-1"/>
          <w:sz w:val="24"/>
          <w:szCs w:val="24"/>
        </w:rPr>
        <w:t>陆拾万元整</w:t>
      </w:r>
    </w:p>
    <w:p w14:paraId="2612AA8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（五）项目概况：</w:t>
      </w:r>
    </w:p>
    <w:p w14:paraId="17E5BC6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提升医疗服务能力设备购置</w:t>
      </w:r>
    </w:p>
    <w:p w14:paraId="33FC5FA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eastAsia" w:ascii="宋体" w:hAnsi="宋体" w:eastAsia="宋体" w:cs="宋体"/>
          <w:sz w:val="24"/>
          <w:szCs w:val="24"/>
        </w:rPr>
      </w:pPr>
      <w:r>
        <w:rPr>
          <w:rFonts w:hint="eastAsia" w:ascii="宋体" w:hAnsi="宋体" w:eastAsia="宋体" w:cs="宋体"/>
          <w:spacing w:val="2"/>
          <w:sz w:val="24"/>
          <w:szCs w:val="24"/>
        </w:rPr>
        <w:t>（六）本项目是否有为采购项目提供整体设计、规范编制或者项目管理、监理、检测等服务的供应商：否</w:t>
      </w:r>
    </w:p>
    <w:p w14:paraId="21A2E2A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textAlignment w:val="baseline"/>
        <w:outlineLvl w:val="0"/>
        <w:rPr>
          <w:rFonts w:hint="eastAsia" w:ascii="宋体" w:hAnsi="宋体" w:eastAsia="宋体" w:cs="宋体"/>
          <w:sz w:val="24"/>
          <w:szCs w:val="24"/>
        </w:rPr>
      </w:pPr>
      <w:r>
        <w:rPr>
          <w:rFonts w:hint="eastAsia" w:ascii="宋体" w:hAnsi="宋体" w:eastAsia="宋体" w:cs="宋体"/>
          <w:spacing w:val="4"/>
          <w:sz w:val="24"/>
          <w:szCs w:val="24"/>
        </w:rPr>
        <w:t>二、项目需求调查情况</w:t>
      </w:r>
    </w:p>
    <w:p w14:paraId="10AA69B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eastAsia" w:ascii="宋体" w:hAnsi="宋体" w:eastAsia="宋体" w:cs="宋体"/>
          <w:sz w:val="24"/>
          <w:szCs w:val="24"/>
        </w:rPr>
      </w:pPr>
      <w:r>
        <w:rPr>
          <w:rFonts w:hint="eastAsia" w:ascii="宋体" w:hAnsi="宋体" w:eastAsia="宋体" w:cs="宋体"/>
          <w:spacing w:val="2"/>
          <w:sz w:val="24"/>
          <w:szCs w:val="24"/>
        </w:rPr>
        <w:t>依据《政府采购需求管理办法》的规定，本项目不需要</w:t>
      </w:r>
      <w:r>
        <w:rPr>
          <w:rFonts w:hint="eastAsia" w:ascii="宋体" w:hAnsi="宋体" w:eastAsia="宋体" w:cs="宋体"/>
          <w:spacing w:val="1"/>
          <w:sz w:val="24"/>
          <w:szCs w:val="24"/>
        </w:rPr>
        <w:t>需求调查，具体情况如下：</w:t>
      </w:r>
    </w:p>
    <w:p w14:paraId="0C7BA0A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（一）需求调查方式</w:t>
      </w:r>
    </w:p>
    <w:p w14:paraId="35B0691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（二）需求调查对象</w:t>
      </w:r>
    </w:p>
    <w:p w14:paraId="36C029B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（三）需求调查结果</w:t>
      </w:r>
    </w:p>
    <w:p w14:paraId="34E9F7A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1.相关产业发展情况</w:t>
      </w:r>
    </w:p>
    <w:p w14:paraId="5649F05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2.市场供给情况</w:t>
      </w:r>
    </w:p>
    <w:p w14:paraId="3057556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3.</w:t>
      </w:r>
      <w:r>
        <w:rPr>
          <w:rFonts w:hint="eastAsia" w:ascii="宋体" w:hAnsi="宋体" w:eastAsia="宋体" w:cs="宋体"/>
          <w:spacing w:val="-30"/>
          <w:sz w:val="24"/>
          <w:szCs w:val="24"/>
        </w:rPr>
        <w:t xml:space="preserve"> </w:t>
      </w:r>
      <w:r>
        <w:rPr>
          <w:rFonts w:hint="eastAsia" w:ascii="宋体" w:hAnsi="宋体" w:eastAsia="宋体" w:cs="宋体"/>
          <w:spacing w:val="-1"/>
          <w:sz w:val="24"/>
          <w:szCs w:val="24"/>
        </w:rPr>
        <w:t>同类采购项目历史成交信息情况</w:t>
      </w:r>
    </w:p>
    <w:p w14:paraId="5544C9F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eastAsia" w:ascii="宋体" w:hAnsi="宋体" w:eastAsia="宋体" w:cs="宋体"/>
          <w:sz w:val="24"/>
          <w:szCs w:val="24"/>
        </w:rPr>
      </w:pPr>
      <w:r>
        <w:rPr>
          <w:rFonts w:hint="eastAsia" w:ascii="宋体" w:hAnsi="宋体" w:eastAsia="宋体" w:cs="宋体"/>
          <w:spacing w:val="2"/>
          <w:sz w:val="24"/>
          <w:szCs w:val="24"/>
        </w:rPr>
        <w:t>4.可能涉及的运行维护、升级更新、备品</w:t>
      </w:r>
      <w:r>
        <w:rPr>
          <w:rFonts w:hint="eastAsia" w:ascii="宋体" w:hAnsi="宋体" w:eastAsia="宋体" w:cs="宋体"/>
          <w:spacing w:val="1"/>
          <w:sz w:val="24"/>
          <w:szCs w:val="24"/>
        </w:rPr>
        <w:t>备件、耗材等后续采购情况</w:t>
      </w:r>
    </w:p>
    <w:p w14:paraId="2E0DBC3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5.其他相关情况</w:t>
      </w:r>
    </w:p>
    <w:p w14:paraId="0D130A6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textAlignment w:val="baseline"/>
        <w:outlineLvl w:val="0"/>
        <w:rPr>
          <w:rFonts w:hint="eastAsia" w:ascii="宋体" w:hAnsi="宋体" w:eastAsia="宋体" w:cs="宋体"/>
          <w:sz w:val="24"/>
          <w:szCs w:val="24"/>
        </w:rPr>
      </w:pPr>
      <w:r>
        <w:rPr>
          <w:rFonts w:hint="eastAsia" w:ascii="宋体" w:hAnsi="宋体" w:eastAsia="宋体" w:cs="宋体"/>
          <w:spacing w:val="5"/>
          <w:sz w:val="24"/>
          <w:szCs w:val="24"/>
        </w:rPr>
        <w:t>三、项目采购实施计划</w:t>
      </w:r>
    </w:p>
    <w:p w14:paraId="58CB5C7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（一）采购组织形式：部门集中采购</w:t>
      </w:r>
    </w:p>
    <w:p w14:paraId="5C51458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（二）采购方式：竞争性磋商</w:t>
      </w:r>
    </w:p>
    <w:p w14:paraId="6A4CEC3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（三）本项目是否单位自行组织采购：否</w:t>
      </w:r>
    </w:p>
    <w:p w14:paraId="364A8B9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（四）采购包划分：不分包采购</w:t>
      </w:r>
    </w:p>
    <w:p w14:paraId="656EB50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（五）执行政府采购促进中小企业发展的相关政策</w:t>
      </w:r>
    </w:p>
    <w:p w14:paraId="3FCC9E2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1. 专门面向中小企业采购</w:t>
      </w:r>
    </w:p>
    <w:p w14:paraId="2201B5D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4"/>
          <w:szCs w:val="24"/>
        </w:rPr>
      </w:pPr>
      <w:r>
        <w:rPr>
          <w:rFonts w:hint="eastAsia" w:ascii="宋体" w:hAnsi="宋体" w:eastAsia="宋体" w:cs="宋体"/>
          <w:i/>
          <w:iCs/>
          <w:spacing w:val="-8"/>
          <w:sz w:val="24"/>
          <w:szCs w:val="24"/>
        </w:rPr>
        <w:t>注：监狱企业和残疾人福利单位视同小微企</w:t>
      </w:r>
      <w:r>
        <w:rPr>
          <w:rFonts w:hint="eastAsia" w:ascii="宋体" w:hAnsi="宋体" w:eastAsia="宋体" w:cs="宋体"/>
          <w:i/>
          <w:iCs/>
          <w:spacing w:val="-9"/>
          <w:sz w:val="24"/>
          <w:szCs w:val="24"/>
        </w:rPr>
        <w:t>业。</w:t>
      </w:r>
    </w:p>
    <w:p w14:paraId="44DC5F7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（六）是否采购环境标识产品：否</w:t>
      </w:r>
    </w:p>
    <w:p w14:paraId="5AFD17B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（七）是否采购节能产品：否</w:t>
      </w:r>
    </w:p>
    <w:p w14:paraId="0AAC495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（八）项目的采购标的是否包含进口产品：否</w:t>
      </w:r>
    </w:p>
    <w:p w14:paraId="2C6B1AC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（九）采购标的是否属于政府购买服务：否</w:t>
      </w:r>
    </w:p>
    <w:p w14:paraId="048D917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（十）是否属于政务信息系统项目：否</w:t>
      </w:r>
    </w:p>
    <w:p w14:paraId="7515E9F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eastAsia" w:ascii="宋体" w:hAnsi="宋体" w:eastAsia="宋体" w:cs="宋体"/>
          <w:sz w:val="24"/>
          <w:szCs w:val="24"/>
        </w:rPr>
      </w:pPr>
      <w:r>
        <w:rPr>
          <w:rFonts w:hint="eastAsia" w:ascii="宋体" w:hAnsi="宋体" w:eastAsia="宋体" w:cs="宋体"/>
          <w:spacing w:val="2"/>
          <w:sz w:val="24"/>
          <w:szCs w:val="24"/>
        </w:rPr>
        <w:t>（十一）是否属于高校、科研院所的科研仪器设备采购</w:t>
      </w:r>
      <w:r>
        <w:rPr>
          <w:rFonts w:hint="eastAsia" w:ascii="宋体" w:hAnsi="宋体" w:eastAsia="宋体" w:cs="宋体"/>
          <w:spacing w:val="1"/>
          <w:sz w:val="24"/>
          <w:szCs w:val="24"/>
        </w:rPr>
        <w:t>：否</w:t>
      </w:r>
    </w:p>
    <w:p w14:paraId="3CB738D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（十二）是否属于一签多年项目：否</w:t>
      </w:r>
    </w:p>
    <w:p w14:paraId="6A2F207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四、项目需求及分包情况、采购标的</w:t>
      </w:r>
    </w:p>
    <w:p w14:paraId="24EBD21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rPr>
        <w:t>（一）分包名称：提升医疗服务能力设备购置</w:t>
      </w:r>
      <w:r>
        <w:rPr>
          <w:rFonts w:hint="eastAsia" w:cs="宋体"/>
          <w:spacing w:val="1"/>
          <w:sz w:val="24"/>
          <w:szCs w:val="24"/>
          <w:lang w:eastAsia="zh-CN"/>
        </w:rPr>
        <w:t>（</w:t>
      </w:r>
      <w:r>
        <w:rPr>
          <w:rFonts w:hint="eastAsia" w:cs="宋体"/>
          <w:spacing w:val="1"/>
          <w:sz w:val="24"/>
          <w:szCs w:val="24"/>
          <w:lang w:val="en-US" w:eastAsia="zh-CN"/>
        </w:rPr>
        <w:t>二次</w:t>
      </w:r>
      <w:r>
        <w:rPr>
          <w:rFonts w:hint="eastAsia" w:cs="宋体"/>
          <w:spacing w:val="1"/>
          <w:sz w:val="24"/>
          <w:szCs w:val="24"/>
          <w:lang w:eastAsia="zh-CN"/>
        </w:rPr>
        <w:t>）</w:t>
      </w:r>
    </w:p>
    <w:p w14:paraId="6674B05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1、执行政府采购促进中小企业发展的相关政策</w:t>
      </w:r>
    </w:p>
    <w:p w14:paraId="42E1A4F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 专门面向中小企业采购</w:t>
      </w:r>
    </w:p>
    <w:p w14:paraId="1580325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2)面向的企业规模： 中小企业</w:t>
      </w:r>
    </w:p>
    <w:p w14:paraId="4CAF7B9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3)预留形式： 设置专门采购包</w:t>
      </w:r>
    </w:p>
    <w:p w14:paraId="22DF02E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4)预留比例： 100%</w:t>
      </w:r>
    </w:p>
    <w:p w14:paraId="413CE4E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2、预算金额（元）：600,000.00 ，大写（人民币）： 陆拾万元整 最高限价（元）： 600,000.00 ，大写（人民币）： 陆拾万元整</w:t>
      </w:r>
    </w:p>
    <w:p w14:paraId="52A332A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3、评审方法：综合评分法</w:t>
      </w:r>
    </w:p>
    <w:p w14:paraId="1AA2E78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4、是否支持联合体投标：否</w:t>
      </w:r>
    </w:p>
    <w:p w14:paraId="501FCEF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5、是否允许合同分包选项：否</w:t>
      </w:r>
    </w:p>
    <w:p w14:paraId="7E23EFB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6、拟采购标的的技术要求</w:t>
      </w:r>
    </w:p>
    <w:tbl>
      <w:tblPr>
        <w:tblStyle w:val="6"/>
        <w:tblW w:w="1055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3"/>
        <w:gridCol w:w="1223"/>
        <w:gridCol w:w="3694"/>
        <w:gridCol w:w="1223"/>
        <w:gridCol w:w="3699"/>
      </w:tblGrid>
      <w:tr w14:paraId="537A51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713" w:type="dxa"/>
            <w:vMerge w:val="restart"/>
            <w:tcBorders>
              <w:bottom w:val="nil"/>
            </w:tcBorders>
            <w:vAlign w:val="top"/>
          </w:tcPr>
          <w:p w14:paraId="4291FFF5">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p w14:paraId="4B0D37CE">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p w14:paraId="453D940E">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p w14:paraId="2C798E7B">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p w14:paraId="655464CD">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p w14:paraId="38B6AE7F">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p w14:paraId="7A3AE4DA">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p w14:paraId="37CF921C">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1</w:t>
            </w:r>
          </w:p>
        </w:tc>
        <w:tc>
          <w:tcPr>
            <w:tcW w:w="1223" w:type="dxa"/>
            <w:vAlign w:val="top"/>
          </w:tcPr>
          <w:p w14:paraId="769A8970">
            <w:pPr>
              <w:pStyle w:val="7"/>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pacing w:val="-1"/>
                <w:sz w:val="24"/>
                <w:szCs w:val="24"/>
              </w:rPr>
              <w:t>采购品目</w:t>
            </w:r>
          </w:p>
        </w:tc>
        <w:tc>
          <w:tcPr>
            <w:tcW w:w="3694" w:type="dxa"/>
            <w:vAlign w:val="top"/>
          </w:tcPr>
          <w:p w14:paraId="1F9852B1">
            <w:pPr>
              <w:pStyle w:val="7"/>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医用</w:t>
            </w:r>
            <w:r>
              <w:rPr>
                <w:rFonts w:hint="eastAsia" w:ascii="宋体" w:hAnsi="宋体" w:eastAsia="宋体" w:cs="宋体"/>
                <w:spacing w:val="-20"/>
                <w:sz w:val="24"/>
                <w:szCs w:val="24"/>
              </w:rPr>
              <w:t xml:space="preserve"> </w:t>
            </w:r>
            <w:r>
              <w:rPr>
                <w:rFonts w:hint="eastAsia" w:ascii="宋体" w:hAnsi="宋体" w:eastAsia="宋体" w:cs="宋体"/>
                <w:sz w:val="24"/>
                <w:szCs w:val="24"/>
              </w:rPr>
              <w:t>X 线附属设备及部件</w:t>
            </w:r>
          </w:p>
        </w:tc>
        <w:tc>
          <w:tcPr>
            <w:tcW w:w="1223" w:type="dxa"/>
            <w:vAlign w:val="top"/>
          </w:tcPr>
          <w:p w14:paraId="754004DF">
            <w:pPr>
              <w:pStyle w:val="7"/>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pacing w:val="-1"/>
                <w:sz w:val="24"/>
                <w:szCs w:val="24"/>
              </w:rPr>
              <w:t>标的名称</w:t>
            </w:r>
          </w:p>
        </w:tc>
        <w:tc>
          <w:tcPr>
            <w:tcW w:w="3699" w:type="dxa"/>
            <w:vAlign w:val="top"/>
          </w:tcPr>
          <w:p w14:paraId="140F4547">
            <w:pPr>
              <w:pStyle w:val="7"/>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pacing w:val="2"/>
                <w:sz w:val="24"/>
                <w:szCs w:val="24"/>
              </w:rPr>
              <w:t>数字化摄影X射线系统、机房辐射防护</w:t>
            </w:r>
          </w:p>
        </w:tc>
      </w:tr>
      <w:tr w14:paraId="3A2C15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713" w:type="dxa"/>
            <w:vMerge w:val="continue"/>
            <w:tcBorders>
              <w:top w:val="nil"/>
              <w:bottom w:val="nil"/>
            </w:tcBorders>
            <w:vAlign w:val="top"/>
          </w:tcPr>
          <w:p w14:paraId="13282DF6">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tc>
        <w:tc>
          <w:tcPr>
            <w:tcW w:w="1223" w:type="dxa"/>
            <w:vAlign w:val="top"/>
          </w:tcPr>
          <w:p w14:paraId="23B9434F">
            <w:pPr>
              <w:pStyle w:val="7"/>
              <w:keepNext w:val="0"/>
              <w:keepLines w:val="0"/>
              <w:pageBreakBefore w:val="0"/>
              <w:widowControl/>
              <w:wordWrap/>
              <w:overflowPunct/>
              <w:topLinePunct w:val="0"/>
              <w:bidi w:val="0"/>
              <w:spacing w:line="360" w:lineRule="auto"/>
              <w:ind w:left="0" w:right="0" w:firstLine="464" w:firstLineChars="200"/>
              <w:rPr>
                <w:rFonts w:hint="eastAsia" w:ascii="宋体" w:hAnsi="宋体" w:eastAsia="宋体" w:cs="宋体"/>
                <w:sz w:val="24"/>
                <w:szCs w:val="24"/>
              </w:rPr>
            </w:pPr>
            <w:r>
              <w:rPr>
                <w:rFonts w:hint="eastAsia" w:ascii="宋体" w:hAnsi="宋体" w:eastAsia="宋体" w:cs="宋体"/>
                <w:spacing w:val="-4"/>
                <w:sz w:val="24"/>
                <w:szCs w:val="24"/>
              </w:rPr>
              <w:t>数量</w:t>
            </w:r>
          </w:p>
        </w:tc>
        <w:tc>
          <w:tcPr>
            <w:tcW w:w="3694" w:type="dxa"/>
            <w:vAlign w:val="top"/>
          </w:tcPr>
          <w:p w14:paraId="19A4133E">
            <w:pPr>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pacing w:val="-4"/>
                <w:sz w:val="24"/>
                <w:szCs w:val="24"/>
              </w:rPr>
              <w:t>1.00</w:t>
            </w:r>
          </w:p>
        </w:tc>
        <w:tc>
          <w:tcPr>
            <w:tcW w:w="1223" w:type="dxa"/>
            <w:vAlign w:val="top"/>
          </w:tcPr>
          <w:p w14:paraId="59AC45FE">
            <w:pPr>
              <w:pStyle w:val="7"/>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pacing w:val="-4"/>
                <w:sz w:val="24"/>
                <w:szCs w:val="24"/>
              </w:rPr>
              <w:t>单位</w:t>
            </w:r>
          </w:p>
        </w:tc>
        <w:tc>
          <w:tcPr>
            <w:tcW w:w="3699" w:type="dxa"/>
            <w:vAlign w:val="top"/>
          </w:tcPr>
          <w:p w14:paraId="29D87938">
            <w:pPr>
              <w:pStyle w:val="7"/>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项</w:t>
            </w:r>
          </w:p>
        </w:tc>
      </w:tr>
      <w:tr w14:paraId="3A7858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8" w:hRule="atLeast"/>
        </w:trPr>
        <w:tc>
          <w:tcPr>
            <w:tcW w:w="713" w:type="dxa"/>
            <w:vMerge w:val="continue"/>
            <w:tcBorders>
              <w:top w:val="nil"/>
              <w:bottom w:val="nil"/>
            </w:tcBorders>
            <w:vAlign w:val="top"/>
          </w:tcPr>
          <w:p w14:paraId="6CD3F4AE">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tc>
        <w:tc>
          <w:tcPr>
            <w:tcW w:w="1223" w:type="dxa"/>
            <w:vAlign w:val="top"/>
          </w:tcPr>
          <w:p w14:paraId="48ECBFBD">
            <w:pPr>
              <w:pStyle w:val="7"/>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pacing w:val="-1"/>
                <w:sz w:val="24"/>
                <w:szCs w:val="24"/>
              </w:rPr>
              <w:t>合计金额</w:t>
            </w:r>
            <w:r>
              <w:rPr>
                <w:rFonts w:hint="eastAsia" w:ascii="宋体" w:hAnsi="宋体" w:eastAsia="宋体" w:cs="宋体"/>
                <w:spacing w:val="17"/>
                <w:sz w:val="24"/>
                <w:szCs w:val="24"/>
              </w:rPr>
              <w:t xml:space="preserve"> </w:t>
            </w:r>
            <w:r>
              <w:rPr>
                <w:rFonts w:hint="eastAsia" w:ascii="宋体" w:hAnsi="宋体" w:eastAsia="宋体" w:cs="宋体"/>
                <w:spacing w:val="-1"/>
                <w:sz w:val="24"/>
                <w:szCs w:val="24"/>
              </w:rPr>
              <w:t>(</w:t>
            </w:r>
          </w:p>
          <w:p w14:paraId="5A9293F8">
            <w:pPr>
              <w:pStyle w:val="7"/>
              <w:keepNext w:val="0"/>
              <w:keepLines w:val="0"/>
              <w:pageBreakBefore w:val="0"/>
              <w:widowControl/>
              <w:wordWrap/>
              <w:overflowPunct/>
              <w:topLinePunct w:val="0"/>
              <w:bidi w:val="0"/>
              <w:spacing w:line="360" w:lineRule="auto"/>
              <w:ind w:left="0" w:right="0" w:firstLine="460" w:firstLineChars="200"/>
              <w:rPr>
                <w:rFonts w:hint="eastAsia" w:ascii="宋体" w:hAnsi="宋体" w:eastAsia="宋体" w:cs="宋体"/>
                <w:sz w:val="24"/>
                <w:szCs w:val="24"/>
              </w:rPr>
            </w:pPr>
            <w:r>
              <w:rPr>
                <w:rFonts w:hint="eastAsia" w:ascii="宋体" w:hAnsi="宋体" w:eastAsia="宋体" w:cs="宋体"/>
                <w:spacing w:val="-5"/>
                <w:sz w:val="24"/>
                <w:szCs w:val="24"/>
              </w:rPr>
              <w:t>元）</w:t>
            </w:r>
          </w:p>
        </w:tc>
        <w:tc>
          <w:tcPr>
            <w:tcW w:w="3694" w:type="dxa"/>
            <w:vAlign w:val="top"/>
          </w:tcPr>
          <w:p w14:paraId="0BC6ADA1">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600,000.00</w:t>
            </w:r>
          </w:p>
        </w:tc>
        <w:tc>
          <w:tcPr>
            <w:tcW w:w="1223" w:type="dxa"/>
            <w:vAlign w:val="top"/>
          </w:tcPr>
          <w:p w14:paraId="13283AA3">
            <w:pPr>
              <w:pStyle w:val="7"/>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pacing w:val="-1"/>
                <w:sz w:val="24"/>
                <w:szCs w:val="24"/>
              </w:rPr>
              <w:t>单价（元）</w:t>
            </w:r>
          </w:p>
        </w:tc>
        <w:tc>
          <w:tcPr>
            <w:tcW w:w="3699" w:type="dxa"/>
            <w:vAlign w:val="top"/>
          </w:tcPr>
          <w:p w14:paraId="0E45D077">
            <w:pPr>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600,000.00</w:t>
            </w:r>
          </w:p>
        </w:tc>
      </w:tr>
      <w:tr w14:paraId="02AB3B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8" w:hRule="atLeast"/>
        </w:trPr>
        <w:tc>
          <w:tcPr>
            <w:tcW w:w="713" w:type="dxa"/>
            <w:vMerge w:val="continue"/>
            <w:tcBorders>
              <w:top w:val="nil"/>
              <w:bottom w:val="nil"/>
            </w:tcBorders>
            <w:vAlign w:val="top"/>
          </w:tcPr>
          <w:p w14:paraId="72F09AC5">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tc>
        <w:tc>
          <w:tcPr>
            <w:tcW w:w="1223" w:type="dxa"/>
            <w:vAlign w:val="top"/>
          </w:tcPr>
          <w:p w14:paraId="45E1B2EE">
            <w:pPr>
              <w:pStyle w:val="7"/>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pacing w:val="-1"/>
                <w:sz w:val="24"/>
                <w:szCs w:val="24"/>
              </w:rPr>
              <w:t>是否采购节</w:t>
            </w:r>
          </w:p>
          <w:p w14:paraId="27D02BBE">
            <w:pPr>
              <w:pStyle w:val="7"/>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pacing w:val="-4"/>
                <w:sz w:val="24"/>
                <w:szCs w:val="24"/>
              </w:rPr>
              <w:t>能产品</w:t>
            </w:r>
          </w:p>
        </w:tc>
        <w:tc>
          <w:tcPr>
            <w:tcW w:w="3694" w:type="dxa"/>
            <w:vAlign w:val="top"/>
          </w:tcPr>
          <w:p w14:paraId="2725F67F">
            <w:pPr>
              <w:pStyle w:val="7"/>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否</w:t>
            </w:r>
          </w:p>
        </w:tc>
        <w:tc>
          <w:tcPr>
            <w:tcW w:w="1223" w:type="dxa"/>
            <w:vAlign w:val="top"/>
          </w:tcPr>
          <w:p w14:paraId="5B5A55BE">
            <w:pPr>
              <w:pStyle w:val="7"/>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pacing w:val="-1"/>
                <w:sz w:val="24"/>
                <w:szCs w:val="24"/>
              </w:rPr>
              <w:t>未采购节能</w:t>
            </w:r>
          </w:p>
          <w:p w14:paraId="30E4C11B">
            <w:pPr>
              <w:pStyle w:val="7"/>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pacing w:val="-1"/>
                <w:sz w:val="24"/>
                <w:szCs w:val="24"/>
              </w:rPr>
              <w:t>产品原因</w:t>
            </w:r>
          </w:p>
        </w:tc>
        <w:tc>
          <w:tcPr>
            <w:tcW w:w="3699" w:type="dxa"/>
            <w:vAlign w:val="top"/>
          </w:tcPr>
          <w:p w14:paraId="6C574D6C">
            <w:pPr>
              <w:pStyle w:val="7"/>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无</w:t>
            </w:r>
          </w:p>
        </w:tc>
      </w:tr>
      <w:tr w14:paraId="274F61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713" w:type="dxa"/>
            <w:vMerge w:val="continue"/>
            <w:tcBorders>
              <w:top w:val="nil"/>
              <w:bottom w:val="nil"/>
            </w:tcBorders>
            <w:vAlign w:val="top"/>
          </w:tcPr>
          <w:p w14:paraId="36671DA7">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tc>
        <w:tc>
          <w:tcPr>
            <w:tcW w:w="1223" w:type="dxa"/>
            <w:vAlign w:val="top"/>
          </w:tcPr>
          <w:p w14:paraId="01FC92E0">
            <w:pPr>
              <w:pStyle w:val="7"/>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pacing w:val="-1"/>
                <w:sz w:val="24"/>
                <w:szCs w:val="24"/>
              </w:rPr>
              <w:t>是否采购环</w:t>
            </w:r>
          </w:p>
          <w:p w14:paraId="515B8BC0">
            <w:pPr>
              <w:pStyle w:val="7"/>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pacing w:val="-2"/>
                <w:sz w:val="24"/>
                <w:szCs w:val="24"/>
              </w:rPr>
              <w:t>保产品</w:t>
            </w:r>
          </w:p>
        </w:tc>
        <w:tc>
          <w:tcPr>
            <w:tcW w:w="3694" w:type="dxa"/>
            <w:vAlign w:val="top"/>
          </w:tcPr>
          <w:p w14:paraId="3F8E36F2">
            <w:pPr>
              <w:pStyle w:val="7"/>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否</w:t>
            </w:r>
          </w:p>
        </w:tc>
        <w:tc>
          <w:tcPr>
            <w:tcW w:w="1223" w:type="dxa"/>
            <w:vAlign w:val="top"/>
          </w:tcPr>
          <w:p w14:paraId="2EC0B483">
            <w:pPr>
              <w:pStyle w:val="7"/>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pacing w:val="-1"/>
                <w:sz w:val="24"/>
                <w:szCs w:val="24"/>
              </w:rPr>
              <w:t>未采购环保</w:t>
            </w:r>
          </w:p>
          <w:p w14:paraId="6EF04219">
            <w:pPr>
              <w:pStyle w:val="7"/>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pacing w:val="-1"/>
                <w:sz w:val="24"/>
                <w:szCs w:val="24"/>
              </w:rPr>
              <w:t>产品原因</w:t>
            </w:r>
          </w:p>
        </w:tc>
        <w:tc>
          <w:tcPr>
            <w:tcW w:w="3699" w:type="dxa"/>
            <w:vAlign w:val="top"/>
          </w:tcPr>
          <w:p w14:paraId="7D7495DF">
            <w:pPr>
              <w:pStyle w:val="7"/>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无</w:t>
            </w:r>
          </w:p>
        </w:tc>
      </w:tr>
      <w:tr w14:paraId="19DD18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4" w:hRule="atLeast"/>
        </w:trPr>
        <w:tc>
          <w:tcPr>
            <w:tcW w:w="713" w:type="dxa"/>
            <w:vMerge w:val="continue"/>
            <w:tcBorders>
              <w:top w:val="nil"/>
            </w:tcBorders>
            <w:vAlign w:val="top"/>
          </w:tcPr>
          <w:p w14:paraId="0EA85699">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tc>
        <w:tc>
          <w:tcPr>
            <w:tcW w:w="1223" w:type="dxa"/>
            <w:vAlign w:val="top"/>
          </w:tcPr>
          <w:p w14:paraId="24A21124">
            <w:pPr>
              <w:pStyle w:val="7"/>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pacing w:val="-1"/>
                <w:sz w:val="24"/>
                <w:szCs w:val="24"/>
              </w:rPr>
              <w:t>是否采购进</w:t>
            </w:r>
          </w:p>
          <w:p w14:paraId="1FC81E82">
            <w:pPr>
              <w:pStyle w:val="7"/>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pacing w:val="-11"/>
                <w:sz w:val="24"/>
                <w:szCs w:val="24"/>
              </w:rPr>
              <w:t>口产品</w:t>
            </w:r>
          </w:p>
        </w:tc>
        <w:tc>
          <w:tcPr>
            <w:tcW w:w="3694" w:type="dxa"/>
            <w:vAlign w:val="top"/>
          </w:tcPr>
          <w:p w14:paraId="2C1A1698">
            <w:pPr>
              <w:pStyle w:val="7"/>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否</w:t>
            </w:r>
          </w:p>
        </w:tc>
        <w:tc>
          <w:tcPr>
            <w:tcW w:w="1223" w:type="dxa"/>
            <w:vAlign w:val="top"/>
          </w:tcPr>
          <w:p w14:paraId="3734DA4F">
            <w:pPr>
              <w:pStyle w:val="7"/>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标的物所属</w:t>
            </w:r>
          </w:p>
          <w:p w14:paraId="53700391">
            <w:pPr>
              <w:pStyle w:val="7"/>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pacing w:val="-4"/>
                <w:sz w:val="24"/>
                <w:szCs w:val="24"/>
              </w:rPr>
              <w:t>行业</w:t>
            </w:r>
          </w:p>
        </w:tc>
        <w:tc>
          <w:tcPr>
            <w:tcW w:w="3699" w:type="dxa"/>
            <w:vAlign w:val="top"/>
          </w:tcPr>
          <w:p w14:paraId="3E6D6323">
            <w:pPr>
              <w:pStyle w:val="7"/>
              <w:keepNext w:val="0"/>
              <w:keepLines w:val="0"/>
              <w:pageBreakBefore w:val="0"/>
              <w:widowControl/>
              <w:wordWrap/>
              <w:overflowPunct/>
              <w:topLinePunct w:val="0"/>
              <w:bidi w:val="0"/>
              <w:spacing w:line="360" w:lineRule="auto"/>
              <w:ind w:left="0" w:right="0" w:firstLine="464" w:firstLineChars="200"/>
              <w:rPr>
                <w:rFonts w:hint="eastAsia" w:ascii="宋体" w:hAnsi="宋体" w:eastAsia="宋体" w:cs="宋体"/>
                <w:sz w:val="24"/>
                <w:szCs w:val="24"/>
              </w:rPr>
            </w:pPr>
            <w:r>
              <w:rPr>
                <w:rFonts w:hint="eastAsia" w:ascii="宋体" w:hAnsi="宋体" w:eastAsia="宋体" w:cs="宋体"/>
                <w:spacing w:val="-4"/>
                <w:sz w:val="24"/>
                <w:szCs w:val="24"/>
              </w:rPr>
              <w:t>工业</w:t>
            </w:r>
          </w:p>
        </w:tc>
      </w:tr>
    </w:tbl>
    <w:p w14:paraId="53B907DE">
      <w:pPr>
        <w:pStyle w:val="2"/>
        <w:keepNext w:val="0"/>
        <w:keepLines w:val="0"/>
        <w:pageBreakBefore w:val="0"/>
        <w:widowControl/>
        <w:wordWrap/>
        <w:overflowPunct/>
        <w:topLinePunct w:val="0"/>
        <w:bidi w:val="0"/>
        <w:spacing w:line="360" w:lineRule="auto"/>
        <w:ind w:left="0" w:right="0" w:firstLine="488" w:firstLineChars="200"/>
        <w:rPr>
          <w:rFonts w:hint="eastAsia" w:ascii="宋体" w:hAnsi="宋体" w:eastAsia="宋体" w:cs="宋体"/>
          <w:sz w:val="24"/>
          <w:szCs w:val="24"/>
        </w:rPr>
      </w:pPr>
      <w:r>
        <w:rPr>
          <w:rFonts w:hint="eastAsia" w:ascii="宋体" w:hAnsi="宋体" w:eastAsia="宋体" w:cs="宋体"/>
          <w:spacing w:val="2"/>
          <w:sz w:val="24"/>
          <w:szCs w:val="24"/>
        </w:rPr>
        <w:t>标的名称：数字化摄影X射线系统、机房辐射防护</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64"/>
        <w:gridCol w:w="1234"/>
        <w:gridCol w:w="8262"/>
      </w:tblGrid>
      <w:tr w14:paraId="6D11D6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04" w:hRule="atLeast"/>
        </w:trPr>
        <w:tc>
          <w:tcPr>
            <w:tcW w:w="764" w:type="dxa"/>
            <w:vAlign w:val="center"/>
          </w:tcPr>
          <w:p w14:paraId="476B84B8">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z w:val="24"/>
                <w:szCs w:val="24"/>
              </w:rPr>
            </w:pPr>
            <w:r>
              <w:rPr>
                <w:rFonts w:hint="eastAsia" w:ascii="宋体" w:hAnsi="宋体" w:eastAsia="宋体" w:cs="宋体"/>
                <w:sz w:val="24"/>
                <w:szCs w:val="24"/>
              </w:rPr>
              <w:t>序号</w:t>
            </w:r>
          </w:p>
        </w:tc>
        <w:tc>
          <w:tcPr>
            <w:tcW w:w="1234" w:type="dxa"/>
            <w:vAlign w:val="center"/>
          </w:tcPr>
          <w:p w14:paraId="1207B9D5">
            <w:pPr>
              <w:pStyle w:val="8"/>
              <w:keepNext w:val="0"/>
              <w:keepLines w:val="0"/>
              <w:pageBreakBefore w:val="0"/>
              <w:widowControl/>
              <w:wordWrap/>
              <w:overflowPunct/>
              <w:topLinePunct w:val="0"/>
              <w:bidi w:val="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参数性质</w:t>
            </w:r>
          </w:p>
        </w:tc>
        <w:tc>
          <w:tcPr>
            <w:tcW w:w="8262" w:type="dxa"/>
            <w:vAlign w:val="center"/>
          </w:tcPr>
          <w:p w14:paraId="362715F7">
            <w:pPr>
              <w:pStyle w:val="8"/>
              <w:keepNext w:val="0"/>
              <w:keepLines w:val="0"/>
              <w:pageBreakBefore w:val="0"/>
              <w:widowControl/>
              <w:wordWrap/>
              <w:overflowPunct/>
              <w:topLinePunct w:val="0"/>
              <w:bidi w:val="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技术参数与性能指标</w:t>
            </w:r>
          </w:p>
        </w:tc>
      </w:tr>
      <w:tr w14:paraId="619252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89" w:hRule="atLeast"/>
        </w:trPr>
        <w:tc>
          <w:tcPr>
            <w:tcW w:w="764" w:type="dxa"/>
          </w:tcPr>
          <w:p w14:paraId="7EB53420">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1</w:t>
            </w:r>
          </w:p>
        </w:tc>
        <w:tc>
          <w:tcPr>
            <w:tcW w:w="1234" w:type="dxa"/>
          </w:tcPr>
          <w:p w14:paraId="18F26E69">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tc>
        <w:tc>
          <w:tcPr>
            <w:tcW w:w="8262" w:type="dxa"/>
          </w:tcPr>
          <w:p w14:paraId="3D9FBC94">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一、产品用途：用于头颅、颈椎、四肢、胸部、腹部等站立位、卧位和水平侧位的数字X线摄影系统。</w:t>
            </w:r>
          </w:p>
        </w:tc>
      </w:tr>
      <w:tr w14:paraId="5BBE4E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72" w:hRule="atLeast"/>
        </w:trPr>
        <w:tc>
          <w:tcPr>
            <w:tcW w:w="764" w:type="dxa"/>
          </w:tcPr>
          <w:p w14:paraId="2956110D">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2</w:t>
            </w:r>
          </w:p>
        </w:tc>
        <w:tc>
          <w:tcPr>
            <w:tcW w:w="1234" w:type="dxa"/>
          </w:tcPr>
          <w:p w14:paraId="62839907">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tc>
        <w:tc>
          <w:tcPr>
            <w:tcW w:w="8262" w:type="dxa"/>
          </w:tcPr>
          <w:p w14:paraId="67987772">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▲二、整体要求 高压发生器、平板探测器、图像采集工作站需为同一品牌</w:t>
            </w:r>
          </w:p>
        </w:tc>
      </w:tr>
      <w:tr w14:paraId="17E2B9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49" w:hRule="atLeast"/>
        </w:trPr>
        <w:tc>
          <w:tcPr>
            <w:tcW w:w="764" w:type="dxa"/>
          </w:tcPr>
          <w:p w14:paraId="4CB7063B">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3</w:t>
            </w:r>
          </w:p>
        </w:tc>
        <w:tc>
          <w:tcPr>
            <w:tcW w:w="1234" w:type="dxa"/>
          </w:tcPr>
          <w:p w14:paraId="770CED35">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tc>
        <w:tc>
          <w:tcPr>
            <w:tcW w:w="8262" w:type="dxa"/>
          </w:tcPr>
          <w:p w14:paraId="11BDABF6">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高压发生器： 3.1最大输出功率≥50kW 3.2最大管电流≥630mA ▲3.3逆变频率≥450KHz</w:t>
            </w:r>
          </w:p>
        </w:tc>
      </w:tr>
      <w:tr w14:paraId="065970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90" w:hRule="atLeast"/>
        </w:trPr>
        <w:tc>
          <w:tcPr>
            <w:tcW w:w="764" w:type="dxa"/>
          </w:tcPr>
          <w:p w14:paraId="0E3EA876">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4</w:t>
            </w:r>
          </w:p>
        </w:tc>
        <w:tc>
          <w:tcPr>
            <w:tcW w:w="1234" w:type="dxa"/>
          </w:tcPr>
          <w:p w14:paraId="58A7FC7A">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tc>
        <w:tc>
          <w:tcPr>
            <w:tcW w:w="8262" w:type="dxa"/>
          </w:tcPr>
          <w:p w14:paraId="41BA97F6">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X射线管：4.1焦点尺寸：小焦点≤0.6 mm,大焦点≥1.2 mm 4.2阳极热容量≥230 kHU</w:t>
            </w:r>
          </w:p>
        </w:tc>
      </w:tr>
      <w:tr w14:paraId="4D6F91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06" w:hRule="atLeast"/>
        </w:trPr>
        <w:tc>
          <w:tcPr>
            <w:tcW w:w="764" w:type="dxa"/>
          </w:tcPr>
          <w:p w14:paraId="7BE080A0">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5</w:t>
            </w:r>
          </w:p>
        </w:tc>
        <w:tc>
          <w:tcPr>
            <w:tcW w:w="1234" w:type="dxa"/>
          </w:tcPr>
          <w:p w14:paraId="2810EF13">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tc>
        <w:tc>
          <w:tcPr>
            <w:tcW w:w="8262" w:type="dxa"/>
          </w:tcPr>
          <w:p w14:paraId="2363F0B6">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数字平板探测器：5.1有效成像区域≥42cm×42 cm 5.2像素尺寸≤139μm 5.3空间分辨率≥3.6Lp/mm</w:t>
            </w:r>
          </w:p>
        </w:tc>
      </w:tr>
      <w:tr w14:paraId="374EF6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631" w:hRule="atLeast"/>
        </w:trPr>
        <w:tc>
          <w:tcPr>
            <w:tcW w:w="764" w:type="dxa"/>
          </w:tcPr>
          <w:p w14:paraId="41974EE6">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6</w:t>
            </w:r>
          </w:p>
        </w:tc>
        <w:tc>
          <w:tcPr>
            <w:tcW w:w="1234" w:type="dxa"/>
          </w:tcPr>
          <w:p w14:paraId="73561972">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tc>
        <w:tc>
          <w:tcPr>
            <w:tcW w:w="8262" w:type="dxa"/>
          </w:tcPr>
          <w:p w14:paraId="1B5EBE1F">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X射线管支撑装置：6.1落地式机架，非U臂或UC臂。 ▲6.2机头绕水平轴旋转范围≥±180° 6.3立柱旋转范围≥±180°； 6.4机头沿立柱升降运动行程（电动）≥1250 mm 6.5球管侧具备触摸屏，屏幕尺寸≥9.7英寸：6.5.1触摸屏可显示机头离地面高度、机头与立式摄影架距离和机头旋转角度； 6.5.2触摸显示屏上进行机头与立式摄影架探测器盒具有一键跟踪功能；6.5.3具备高压同步功能，可调节相应曝光参数；6.5.4显示患者的详细登记信息；6.5.5操控触摸屏界面旋转可自动调整方向。</w:t>
            </w:r>
          </w:p>
        </w:tc>
      </w:tr>
      <w:tr w14:paraId="05150F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10" w:hRule="atLeast"/>
        </w:trPr>
        <w:tc>
          <w:tcPr>
            <w:tcW w:w="764" w:type="dxa"/>
          </w:tcPr>
          <w:p w14:paraId="08DCF7EE">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7</w:t>
            </w:r>
          </w:p>
        </w:tc>
        <w:tc>
          <w:tcPr>
            <w:tcW w:w="1234" w:type="dxa"/>
          </w:tcPr>
          <w:p w14:paraId="7FFE66E8">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tc>
        <w:tc>
          <w:tcPr>
            <w:tcW w:w="8262" w:type="dxa"/>
          </w:tcPr>
          <w:p w14:paraId="49CB9C03">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摄影床：7.1床面尺寸≥2200×800 mm, 床面高度≤650mm。 7.2床面横向移动范围≥250mm，床面纵向移动范围≥900mm 7.3床下平板探测器运动行程≥520mm 7.4床下平板探测器可在线充电</w:t>
            </w:r>
          </w:p>
        </w:tc>
      </w:tr>
      <w:tr w14:paraId="597BF6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764" w:type="dxa"/>
          </w:tcPr>
          <w:p w14:paraId="548F7B4A">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8</w:t>
            </w:r>
          </w:p>
        </w:tc>
        <w:tc>
          <w:tcPr>
            <w:tcW w:w="1234" w:type="dxa"/>
          </w:tcPr>
          <w:p w14:paraId="05499CEF">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tc>
        <w:tc>
          <w:tcPr>
            <w:tcW w:w="8262" w:type="dxa"/>
          </w:tcPr>
          <w:p w14:paraId="67AA67EA">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立式摄影架：▲8.1摄影架内探测器中心离地距离：≤350 mm，探测器运动行程：≥1400 mm。 8.2摄影架内平板探测器可在线充电 8.3机头和摄影架内探测器具备自动跟踪功能</w:t>
            </w:r>
          </w:p>
        </w:tc>
      </w:tr>
      <w:tr w14:paraId="05206D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03" w:hRule="atLeast"/>
        </w:trPr>
        <w:tc>
          <w:tcPr>
            <w:tcW w:w="764" w:type="dxa"/>
          </w:tcPr>
          <w:p w14:paraId="5C68B531">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9</w:t>
            </w:r>
          </w:p>
        </w:tc>
        <w:tc>
          <w:tcPr>
            <w:tcW w:w="1234" w:type="dxa"/>
          </w:tcPr>
          <w:p w14:paraId="6F323349">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tc>
        <w:tc>
          <w:tcPr>
            <w:tcW w:w="8262" w:type="dxa"/>
          </w:tcPr>
          <w:p w14:paraId="30ED089C">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图像采集工作站及处理系统：9.1硬件配置：处理器：Intel Core i5及以上，内存≥4GB，硬盘≥500GB。9.2显示器尺寸≥21英寸 9.3支持图像拼接功能；9.4具备图像采集功能：具备摄影参数选择，3D人体部位选择，患者体型选择，检查项目选择等功能。9.5具备图像处理功能：具备窗宽、窗位调整，图像缩放、放大、旋转，图像标注，图像裁剪等功能。 9.6可进行尘肺矽肺筛查（提供软件著作权证书）。 9.7符合DICOM3.0标准：支持多项DICOM服务类别，如存储、传输、接收、查询、打印。 9.8支持远程医学影像诊断（提供软件著作权证书）。▲9.9具备组织均衡功能（提供软件著作权证书）。</w:t>
            </w:r>
          </w:p>
        </w:tc>
      </w:tr>
      <w:tr w14:paraId="22A650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20" w:hRule="atLeast"/>
        </w:trPr>
        <w:tc>
          <w:tcPr>
            <w:tcW w:w="764" w:type="dxa"/>
          </w:tcPr>
          <w:p w14:paraId="60D262EE">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10</w:t>
            </w:r>
          </w:p>
        </w:tc>
        <w:tc>
          <w:tcPr>
            <w:tcW w:w="1234" w:type="dxa"/>
          </w:tcPr>
          <w:p w14:paraId="2AE53FEE">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tc>
        <w:tc>
          <w:tcPr>
            <w:tcW w:w="8262" w:type="dxa"/>
          </w:tcPr>
          <w:p w14:paraId="569F3A4E">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相机参数: 10.1 打印分辨率≥320dpi 10.2胶片可散片装入 10.3可打印五胶片规格：14x17”，14″×14″，11″×14″，10″×12″，8″×10″ 10.4≥2个供片盒 10.5每个供片能盒兼容5种不同规格的胶片 10.6打印速度≥140张/小时（8x10） 10.7首张出片时间≤80s 10.8灰阶≥14bit 10.9符合DICOM3.0</w:t>
            </w:r>
          </w:p>
        </w:tc>
      </w:tr>
      <w:tr w14:paraId="13B03B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83" w:hRule="atLeast"/>
        </w:trPr>
        <w:tc>
          <w:tcPr>
            <w:tcW w:w="764" w:type="dxa"/>
          </w:tcPr>
          <w:p w14:paraId="7AE92BDC">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11</w:t>
            </w:r>
          </w:p>
        </w:tc>
        <w:tc>
          <w:tcPr>
            <w:tcW w:w="1234" w:type="dxa"/>
          </w:tcPr>
          <w:p w14:paraId="44EB590C">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tc>
        <w:tc>
          <w:tcPr>
            <w:tcW w:w="8262" w:type="dxa"/>
          </w:tcPr>
          <w:p w14:paraId="7EBFB31A">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配置清单: 1.高压发生器：1台； 2.X射线管：1件； 3.限束器：1件； 4.摄影床：1件； 5.立式摄影架：1件； 6.平板探测器：1块； 7.滤线栅：1块； 8.图像处理系统：1套； 9.图像采集工作站：1台。 10.医用图像打印机：1台</w:t>
            </w:r>
          </w:p>
        </w:tc>
      </w:tr>
      <w:tr w14:paraId="22F182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24" w:hRule="atLeast"/>
        </w:trPr>
        <w:tc>
          <w:tcPr>
            <w:tcW w:w="764" w:type="dxa"/>
          </w:tcPr>
          <w:p w14:paraId="4EA3AEFD">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12</w:t>
            </w:r>
          </w:p>
        </w:tc>
        <w:tc>
          <w:tcPr>
            <w:tcW w:w="1234" w:type="dxa"/>
          </w:tcPr>
          <w:p w14:paraId="04CF6D23">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tc>
        <w:tc>
          <w:tcPr>
            <w:tcW w:w="8262" w:type="dxa"/>
          </w:tcPr>
          <w:p w14:paraId="784ADF61">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医用防护单开门：1.手动防护单开铅门；2.防护当量，≥3mmpb 铅当量</w:t>
            </w:r>
          </w:p>
        </w:tc>
      </w:tr>
      <w:tr w14:paraId="660FB6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74" w:hRule="atLeast"/>
        </w:trPr>
        <w:tc>
          <w:tcPr>
            <w:tcW w:w="764" w:type="dxa"/>
          </w:tcPr>
          <w:p w14:paraId="204F5791">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13</w:t>
            </w:r>
          </w:p>
        </w:tc>
        <w:tc>
          <w:tcPr>
            <w:tcW w:w="1234" w:type="dxa"/>
          </w:tcPr>
          <w:p w14:paraId="054FB1AD">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tc>
        <w:tc>
          <w:tcPr>
            <w:tcW w:w="8262" w:type="dxa"/>
          </w:tcPr>
          <w:p w14:paraId="478E1597">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医用防护电动平移门：1.自动防护铅门 2.防护当量，≥3mmpb 铅当量 3.设置防夹装置，设置地槽射线防护装置</w:t>
            </w:r>
          </w:p>
        </w:tc>
      </w:tr>
      <w:tr w14:paraId="6007BC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99" w:hRule="atLeast"/>
        </w:trPr>
        <w:tc>
          <w:tcPr>
            <w:tcW w:w="764" w:type="dxa"/>
          </w:tcPr>
          <w:p w14:paraId="0E2400AF">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14</w:t>
            </w:r>
          </w:p>
        </w:tc>
        <w:tc>
          <w:tcPr>
            <w:tcW w:w="1234" w:type="dxa"/>
          </w:tcPr>
          <w:p w14:paraId="43881772">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tc>
        <w:tc>
          <w:tcPr>
            <w:tcW w:w="8262" w:type="dxa"/>
          </w:tcPr>
          <w:p w14:paraId="5F857431">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电动装置：移门电机、感应光幕接口、警示标、工作指示灯（警示灯）、门机灯连 锁、五金等设计及相关规范要求中的所有费用</w:t>
            </w:r>
          </w:p>
        </w:tc>
      </w:tr>
      <w:tr w14:paraId="5C649D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3" w:hRule="atLeast"/>
        </w:trPr>
        <w:tc>
          <w:tcPr>
            <w:tcW w:w="764" w:type="dxa"/>
          </w:tcPr>
          <w:p w14:paraId="1423EC92">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15</w:t>
            </w:r>
          </w:p>
        </w:tc>
        <w:tc>
          <w:tcPr>
            <w:tcW w:w="1234" w:type="dxa"/>
          </w:tcPr>
          <w:p w14:paraId="269370A3">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tc>
        <w:tc>
          <w:tcPr>
            <w:tcW w:w="8262" w:type="dxa"/>
          </w:tcPr>
          <w:p w14:paraId="19518C4E">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预控评：办理放射诊疗许可证</w:t>
            </w:r>
          </w:p>
        </w:tc>
      </w:tr>
      <w:tr w14:paraId="014992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04" w:hRule="atLeast"/>
        </w:trPr>
        <w:tc>
          <w:tcPr>
            <w:tcW w:w="764" w:type="dxa"/>
          </w:tcPr>
          <w:p w14:paraId="3D697D6D">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16</w:t>
            </w:r>
          </w:p>
        </w:tc>
        <w:tc>
          <w:tcPr>
            <w:tcW w:w="1234" w:type="dxa"/>
          </w:tcPr>
          <w:p w14:paraId="755113D3">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tc>
        <w:tc>
          <w:tcPr>
            <w:tcW w:w="8262" w:type="dxa"/>
          </w:tcPr>
          <w:p w14:paraId="10E8D62C">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环评：办理辐射安全许可证</w:t>
            </w:r>
          </w:p>
        </w:tc>
      </w:tr>
      <w:tr w14:paraId="7393CD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07" w:hRule="atLeast"/>
        </w:trPr>
        <w:tc>
          <w:tcPr>
            <w:tcW w:w="764" w:type="dxa"/>
          </w:tcPr>
          <w:p w14:paraId="7900109A">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17</w:t>
            </w:r>
          </w:p>
        </w:tc>
        <w:tc>
          <w:tcPr>
            <w:tcW w:w="1234" w:type="dxa"/>
          </w:tcPr>
          <w:p w14:paraId="2C3FE92D">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tc>
        <w:tc>
          <w:tcPr>
            <w:tcW w:w="8262" w:type="dxa"/>
          </w:tcPr>
          <w:p w14:paraId="27679818">
            <w:pPr>
              <w:pStyle w:val="8"/>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整体要求：设备安装前需负责机房的设计和防护配套，确保机房能满足GBZ130-2020国家标准和设备的安装要求。需完成预控评验收、放射诊疗资质、辐射安全资质办理等其他全部前期准备工作,包括环境、配套设施、各项审批手续等，达到设备进场后能够直接运行使用的条件。</w:t>
            </w:r>
          </w:p>
        </w:tc>
      </w:tr>
    </w:tbl>
    <w:p w14:paraId="2DD9B532">
      <w:pPr>
        <w:pStyle w:val="2"/>
        <w:keepNext w:val="0"/>
        <w:keepLines w:val="0"/>
        <w:pageBreakBefore w:val="0"/>
        <w:widowControl/>
        <w:wordWrap/>
        <w:overflowPunct/>
        <w:topLinePunct w:val="0"/>
        <w:bidi w:val="0"/>
        <w:spacing w:line="360" w:lineRule="auto"/>
        <w:ind w:left="0" w:right="0" w:firstLine="480" w:firstLineChars="200"/>
        <w:outlineLvl w:val="2"/>
        <w:rPr>
          <w:rFonts w:hint="eastAsia" w:ascii="宋体" w:hAnsi="宋体" w:eastAsia="宋体" w:cs="宋体"/>
          <w:sz w:val="24"/>
          <w:szCs w:val="24"/>
        </w:rPr>
      </w:pPr>
      <w:r>
        <w:rPr>
          <w:rFonts w:hint="eastAsia" w:ascii="宋体" w:hAnsi="宋体" w:eastAsia="宋体" w:cs="宋体"/>
          <w:sz w:val="24"/>
          <w:szCs w:val="24"/>
        </w:rPr>
        <w:t>7、供应商一般资格要求</w:t>
      </w:r>
    </w:p>
    <w:tbl>
      <w:tblPr>
        <w:tblStyle w:val="6"/>
        <w:tblW w:w="1055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9"/>
        <w:gridCol w:w="4461"/>
        <w:gridCol w:w="5282"/>
      </w:tblGrid>
      <w:tr w14:paraId="166625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809" w:type="dxa"/>
            <w:shd w:val="clear" w:color="auto" w:fill="E2E2E2"/>
            <w:vAlign w:val="top"/>
          </w:tcPr>
          <w:p w14:paraId="3F16A531">
            <w:pPr>
              <w:keepNext w:val="0"/>
              <w:keepLines w:val="0"/>
              <w:pageBreakBefore w:val="0"/>
              <w:widowControl/>
              <w:wordWrap/>
              <w:overflowPunct/>
              <w:topLinePunct w:val="0"/>
              <w:bidi w:val="0"/>
              <w:spacing w:line="360" w:lineRule="auto"/>
              <w:ind w:right="0"/>
              <w:jc w:val="both"/>
              <w:rPr>
                <w:rFonts w:hint="eastAsia" w:ascii="宋体" w:hAnsi="宋体" w:eastAsia="宋体" w:cs="宋体"/>
                <w:sz w:val="24"/>
                <w:szCs w:val="24"/>
              </w:rPr>
            </w:pPr>
            <w:r>
              <w:rPr>
                <w:rFonts w:hint="eastAsia" w:ascii="宋体" w:hAnsi="宋体" w:eastAsia="宋体" w:cs="宋体"/>
                <w:sz w:val="24"/>
                <w:szCs w:val="24"/>
              </w:rPr>
              <w:t>序号</w:t>
            </w:r>
          </w:p>
        </w:tc>
        <w:tc>
          <w:tcPr>
            <w:tcW w:w="4461" w:type="dxa"/>
            <w:shd w:val="clear" w:color="auto" w:fill="E2E2E2"/>
            <w:vAlign w:val="top"/>
          </w:tcPr>
          <w:p w14:paraId="4EE9624A">
            <w:pPr>
              <w:keepNext w:val="0"/>
              <w:keepLines w:val="0"/>
              <w:pageBreakBefore w:val="0"/>
              <w:widowControl/>
              <w:wordWrap/>
              <w:overflowPunct/>
              <w:topLinePunct w:val="0"/>
              <w:bidi w:val="0"/>
              <w:spacing w:line="360" w:lineRule="auto"/>
              <w:ind w:left="0" w:right="0" w:firstLine="480" w:firstLineChars="200"/>
              <w:jc w:val="both"/>
              <w:rPr>
                <w:rFonts w:hint="eastAsia" w:ascii="宋体" w:hAnsi="宋体" w:eastAsia="宋体" w:cs="宋体"/>
                <w:sz w:val="24"/>
                <w:szCs w:val="24"/>
              </w:rPr>
            </w:pPr>
            <w:r>
              <w:rPr>
                <w:rFonts w:hint="eastAsia" w:ascii="宋体" w:hAnsi="宋体" w:eastAsia="宋体" w:cs="宋体"/>
                <w:sz w:val="24"/>
                <w:szCs w:val="24"/>
              </w:rPr>
              <w:t>资格要求名称</w:t>
            </w:r>
          </w:p>
        </w:tc>
        <w:tc>
          <w:tcPr>
            <w:tcW w:w="5282" w:type="dxa"/>
            <w:shd w:val="clear" w:color="auto" w:fill="E2E2E2"/>
            <w:vAlign w:val="top"/>
          </w:tcPr>
          <w:p w14:paraId="325C5881">
            <w:pPr>
              <w:keepNext w:val="0"/>
              <w:keepLines w:val="0"/>
              <w:pageBreakBefore w:val="0"/>
              <w:widowControl/>
              <w:wordWrap/>
              <w:overflowPunct/>
              <w:topLinePunct w:val="0"/>
              <w:bidi w:val="0"/>
              <w:spacing w:line="360" w:lineRule="auto"/>
              <w:ind w:left="0" w:right="0" w:firstLine="480" w:firstLineChars="200"/>
              <w:jc w:val="both"/>
              <w:rPr>
                <w:rFonts w:hint="eastAsia" w:ascii="宋体" w:hAnsi="宋体" w:eastAsia="宋体" w:cs="宋体"/>
                <w:sz w:val="24"/>
                <w:szCs w:val="24"/>
              </w:rPr>
            </w:pPr>
            <w:r>
              <w:rPr>
                <w:rFonts w:hint="eastAsia" w:ascii="宋体" w:hAnsi="宋体" w:eastAsia="宋体" w:cs="宋体"/>
                <w:sz w:val="24"/>
                <w:szCs w:val="24"/>
              </w:rPr>
              <w:t>资格要求详细说明</w:t>
            </w:r>
          </w:p>
        </w:tc>
      </w:tr>
      <w:tr w14:paraId="62810A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trPr>
        <w:tc>
          <w:tcPr>
            <w:tcW w:w="809" w:type="dxa"/>
            <w:vAlign w:val="top"/>
          </w:tcPr>
          <w:p w14:paraId="2EE03655">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1</w:t>
            </w:r>
          </w:p>
        </w:tc>
        <w:tc>
          <w:tcPr>
            <w:tcW w:w="4461" w:type="dxa"/>
            <w:vAlign w:val="top"/>
          </w:tcPr>
          <w:p w14:paraId="5340C49C">
            <w:pPr>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供应商应具备《中华人民共和国政府采购法》第二十二条规定的条件。</w:t>
            </w:r>
          </w:p>
        </w:tc>
        <w:tc>
          <w:tcPr>
            <w:tcW w:w="5282" w:type="dxa"/>
            <w:vAlign w:val="top"/>
          </w:tcPr>
          <w:p w14:paraId="61ADE063">
            <w:pPr>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供应商需在项目电子化交易系统中按要求填写《响应函》完成承诺并进行电子签章。</w:t>
            </w:r>
          </w:p>
        </w:tc>
      </w:tr>
      <w:tr w14:paraId="205607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11" w:hRule="atLeast"/>
        </w:trPr>
        <w:tc>
          <w:tcPr>
            <w:tcW w:w="809" w:type="dxa"/>
            <w:vAlign w:val="top"/>
          </w:tcPr>
          <w:p w14:paraId="0F26B748">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p w14:paraId="021D055E">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p w14:paraId="48179B99">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p w14:paraId="2F54D0FE">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p>
        </w:tc>
        <w:tc>
          <w:tcPr>
            <w:tcW w:w="4461" w:type="dxa"/>
            <w:vAlign w:val="top"/>
          </w:tcPr>
          <w:p w14:paraId="214CBF3E">
            <w:pPr>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单位负责人为同一人或者存在直接控股、管理关系 的不同供应商不得参加同一合同项下的政府采购活动；为本项目提供整体设计、规范编制或者项目管理、监理、检测等服务的供应商，不得再参加该采购项目的其他采购活动。</w:t>
            </w:r>
          </w:p>
        </w:tc>
        <w:tc>
          <w:tcPr>
            <w:tcW w:w="5282" w:type="dxa"/>
            <w:vAlign w:val="top"/>
          </w:tcPr>
          <w:p w14:paraId="734FB443">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p w14:paraId="674362B0">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p w14:paraId="108F5589">
            <w:pPr>
              <w:keepNext w:val="0"/>
              <w:keepLines w:val="0"/>
              <w:pageBreakBefore w:val="0"/>
              <w:widowControl/>
              <w:wordWrap/>
              <w:overflowPunct/>
              <w:topLinePunct w:val="0"/>
              <w:bidi w:val="0"/>
              <w:spacing w:line="360" w:lineRule="auto"/>
              <w:ind w:right="0"/>
              <w:rPr>
                <w:rFonts w:hint="eastAsia" w:ascii="宋体" w:hAnsi="宋体" w:eastAsia="宋体" w:cs="宋体"/>
                <w:sz w:val="24"/>
                <w:szCs w:val="24"/>
              </w:rPr>
            </w:pPr>
            <w:r>
              <w:rPr>
                <w:rFonts w:hint="eastAsia" w:ascii="宋体" w:hAnsi="宋体" w:eastAsia="宋体" w:cs="宋体"/>
                <w:sz w:val="24"/>
                <w:szCs w:val="24"/>
              </w:rPr>
              <w:t>供应商需在项目电子化交易系统中按要求填写《响应函》完成承诺并进行电子签章。</w:t>
            </w:r>
          </w:p>
        </w:tc>
      </w:tr>
    </w:tbl>
    <w:p w14:paraId="32691C16">
      <w:pPr>
        <w:pStyle w:val="2"/>
        <w:keepNext w:val="0"/>
        <w:keepLines w:val="0"/>
        <w:pageBreakBefore w:val="0"/>
        <w:widowControl/>
        <w:wordWrap/>
        <w:overflowPunct/>
        <w:topLinePunct w:val="0"/>
        <w:bidi w:val="0"/>
        <w:spacing w:line="360" w:lineRule="auto"/>
        <w:ind w:left="0" w:right="0" w:firstLine="480" w:firstLineChars="200"/>
        <w:outlineLvl w:val="2"/>
        <w:rPr>
          <w:rFonts w:hint="eastAsia" w:ascii="宋体" w:hAnsi="宋体" w:eastAsia="宋体" w:cs="宋体"/>
          <w:sz w:val="24"/>
          <w:szCs w:val="24"/>
        </w:rPr>
      </w:pPr>
      <w:r>
        <w:rPr>
          <w:rFonts w:hint="eastAsia" w:ascii="宋体" w:hAnsi="宋体" w:eastAsia="宋体" w:cs="宋体"/>
          <w:sz w:val="24"/>
          <w:szCs w:val="24"/>
        </w:rPr>
        <w:t>8、供应商特殊资格要求</w:t>
      </w:r>
    </w:p>
    <w:tbl>
      <w:tblPr>
        <w:tblStyle w:val="4"/>
        <w:tblW w:w="10798"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080"/>
        <w:gridCol w:w="3240"/>
        <w:gridCol w:w="4319"/>
        <w:gridCol w:w="2159"/>
      </w:tblGrid>
      <w:tr w14:paraId="1C5C51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47" w:hRule="atLeast"/>
        </w:trPr>
        <w:tc>
          <w:tcPr>
            <w:tcW w:w="1080" w:type="dxa"/>
            <w:vAlign w:val="center"/>
          </w:tcPr>
          <w:p w14:paraId="3B69DADC">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z w:val="24"/>
                <w:szCs w:val="24"/>
              </w:rPr>
            </w:pPr>
            <w:r>
              <w:rPr>
                <w:rFonts w:hint="eastAsia" w:ascii="宋体" w:hAnsi="宋体" w:eastAsia="宋体" w:cs="宋体"/>
                <w:sz w:val="24"/>
                <w:szCs w:val="24"/>
              </w:rPr>
              <w:t xml:space="preserve"> 序号</w:t>
            </w:r>
          </w:p>
        </w:tc>
        <w:tc>
          <w:tcPr>
            <w:tcW w:w="3240" w:type="dxa"/>
            <w:vAlign w:val="center"/>
          </w:tcPr>
          <w:p w14:paraId="572FD945">
            <w:pPr>
              <w:pStyle w:val="8"/>
              <w:keepNext w:val="0"/>
              <w:keepLines w:val="0"/>
              <w:pageBreakBefore w:val="0"/>
              <w:widowControl/>
              <w:wordWrap/>
              <w:overflowPunct/>
              <w:topLinePunct w:val="0"/>
              <w:bidi w:val="0"/>
              <w:spacing w:line="360" w:lineRule="auto"/>
              <w:ind w:left="0" w:right="0" w:firstLine="480" w:firstLineChars="200"/>
              <w:jc w:val="both"/>
              <w:rPr>
                <w:rFonts w:hint="eastAsia" w:ascii="宋体" w:hAnsi="宋体" w:eastAsia="宋体" w:cs="宋体"/>
                <w:sz w:val="24"/>
                <w:szCs w:val="24"/>
              </w:rPr>
            </w:pPr>
            <w:r>
              <w:rPr>
                <w:rFonts w:hint="eastAsia" w:ascii="宋体" w:hAnsi="宋体" w:eastAsia="宋体" w:cs="宋体"/>
                <w:sz w:val="24"/>
                <w:szCs w:val="24"/>
              </w:rPr>
              <w:t xml:space="preserve"> 资格审查要求概况</w:t>
            </w:r>
          </w:p>
        </w:tc>
        <w:tc>
          <w:tcPr>
            <w:tcW w:w="4319" w:type="dxa"/>
            <w:vAlign w:val="center"/>
          </w:tcPr>
          <w:p w14:paraId="7314A769">
            <w:pPr>
              <w:pStyle w:val="8"/>
              <w:keepNext w:val="0"/>
              <w:keepLines w:val="0"/>
              <w:pageBreakBefore w:val="0"/>
              <w:widowControl/>
              <w:wordWrap/>
              <w:overflowPunct/>
              <w:topLinePunct w:val="0"/>
              <w:bidi w:val="0"/>
              <w:spacing w:line="360" w:lineRule="auto"/>
              <w:ind w:left="0" w:right="0" w:firstLine="480" w:firstLineChars="200"/>
              <w:jc w:val="both"/>
              <w:rPr>
                <w:rFonts w:hint="eastAsia" w:ascii="宋体" w:hAnsi="宋体" w:eastAsia="宋体" w:cs="宋体"/>
                <w:sz w:val="24"/>
                <w:szCs w:val="24"/>
              </w:rPr>
            </w:pPr>
            <w:r>
              <w:rPr>
                <w:rFonts w:hint="eastAsia" w:ascii="宋体" w:hAnsi="宋体" w:eastAsia="宋体" w:cs="宋体"/>
                <w:sz w:val="24"/>
                <w:szCs w:val="24"/>
              </w:rPr>
              <w:t xml:space="preserve"> 评审点具体描述</w:t>
            </w:r>
          </w:p>
        </w:tc>
        <w:tc>
          <w:tcPr>
            <w:tcW w:w="2159" w:type="dxa"/>
            <w:vAlign w:val="center"/>
          </w:tcPr>
          <w:p w14:paraId="0217F813">
            <w:pPr>
              <w:pStyle w:val="8"/>
              <w:keepNext w:val="0"/>
              <w:keepLines w:val="0"/>
              <w:pageBreakBefore w:val="0"/>
              <w:widowControl/>
              <w:wordWrap/>
              <w:overflowPunct/>
              <w:topLinePunct w:val="0"/>
              <w:bidi w:val="0"/>
              <w:spacing w:line="360" w:lineRule="auto"/>
              <w:ind w:left="0" w:right="0" w:firstLine="480" w:firstLineChars="200"/>
              <w:jc w:val="both"/>
              <w:rPr>
                <w:rFonts w:hint="eastAsia" w:ascii="宋体" w:hAnsi="宋体" w:eastAsia="宋体" w:cs="宋体"/>
                <w:sz w:val="24"/>
                <w:szCs w:val="24"/>
              </w:rPr>
            </w:pPr>
            <w:r>
              <w:rPr>
                <w:rFonts w:hint="eastAsia" w:ascii="宋体" w:hAnsi="宋体" w:eastAsia="宋体" w:cs="宋体"/>
                <w:sz w:val="24"/>
                <w:szCs w:val="24"/>
              </w:rPr>
              <w:t>关联格式</w:t>
            </w:r>
          </w:p>
        </w:tc>
      </w:tr>
      <w:tr w14:paraId="0F7EEF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703" w:hRule="atLeast"/>
        </w:trPr>
        <w:tc>
          <w:tcPr>
            <w:tcW w:w="1080" w:type="dxa"/>
            <w:vAlign w:val="center"/>
          </w:tcPr>
          <w:p w14:paraId="1D605323">
            <w:pPr>
              <w:pStyle w:val="8"/>
              <w:keepNext w:val="0"/>
              <w:keepLines w:val="0"/>
              <w:pageBreakBefore w:val="0"/>
              <w:widowControl/>
              <w:wordWrap/>
              <w:overflowPunct/>
              <w:topLinePunct w:val="0"/>
              <w:bidi w:val="0"/>
              <w:spacing w:line="360" w:lineRule="auto"/>
              <w:ind w:left="0" w:right="0" w:firstLine="480" w:firstLineChars="200"/>
              <w:jc w:val="both"/>
              <w:rPr>
                <w:rFonts w:hint="eastAsia" w:ascii="宋体" w:hAnsi="宋体" w:eastAsia="宋体" w:cs="宋体"/>
                <w:sz w:val="24"/>
                <w:szCs w:val="24"/>
              </w:rPr>
            </w:pPr>
            <w:r>
              <w:rPr>
                <w:rFonts w:hint="eastAsia" w:ascii="宋体" w:hAnsi="宋体" w:eastAsia="宋体" w:cs="宋体"/>
                <w:sz w:val="24"/>
                <w:szCs w:val="24"/>
              </w:rPr>
              <w:t>1</w:t>
            </w:r>
          </w:p>
        </w:tc>
        <w:tc>
          <w:tcPr>
            <w:tcW w:w="3240" w:type="dxa"/>
            <w:vAlign w:val="center"/>
          </w:tcPr>
          <w:p w14:paraId="051D567F">
            <w:pPr>
              <w:pStyle w:val="8"/>
              <w:keepNext w:val="0"/>
              <w:keepLines w:val="0"/>
              <w:pageBreakBefore w:val="0"/>
              <w:widowControl/>
              <w:wordWrap/>
              <w:overflowPunct/>
              <w:topLinePunct w:val="0"/>
              <w:bidi w:val="0"/>
              <w:spacing w:line="360" w:lineRule="auto"/>
              <w:ind w:left="0" w:right="0" w:firstLine="480" w:firstLineChars="200"/>
              <w:jc w:val="both"/>
              <w:rPr>
                <w:rFonts w:hint="eastAsia" w:ascii="宋体" w:hAnsi="宋体" w:eastAsia="宋体" w:cs="宋体"/>
                <w:sz w:val="24"/>
                <w:szCs w:val="24"/>
              </w:rPr>
            </w:pPr>
            <w:r>
              <w:rPr>
                <w:rFonts w:hint="eastAsia" w:ascii="宋体" w:hAnsi="宋体" w:eastAsia="宋体" w:cs="宋体"/>
                <w:sz w:val="24"/>
                <w:szCs w:val="24"/>
              </w:rPr>
              <w:t>履约能力承诺</w:t>
            </w:r>
          </w:p>
        </w:tc>
        <w:tc>
          <w:tcPr>
            <w:tcW w:w="4319" w:type="dxa"/>
            <w:vAlign w:val="center"/>
          </w:tcPr>
          <w:p w14:paraId="2A11DE2A">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z w:val="24"/>
                <w:szCs w:val="24"/>
              </w:rPr>
            </w:pPr>
            <w:r>
              <w:rPr>
                <w:rFonts w:hint="eastAsia" w:ascii="宋体" w:hAnsi="宋体" w:eastAsia="宋体" w:cs="宋体"/>
                <w:sz w:val="24"/>
                <w:szCs w:val="24"/>
              </w:rPr>
              <w:t>提供具有履行合同所必需的设备和专业技术能力的承诺。供应商需在项目电子化交易系统中按要求上传相应证明文件并进行电子签章。</w:t>
            </w:r>
          </w:p>
        </w:tc>
        <w:tc>
          <w:tcPr>
            <w:tcW w:w="2159" w:type="dxa"/>
            <w:vAlign w:val="center"/>
          </w:tcPr>
          <w:p w14:paraId="1D200803">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z w:val="24"/>
                <w:szCs w:val="24"/>
              </w:rPr>
            </w:pPr>
            <w:r>
              <w:rPr>
                <w:rFonts w:hint="eastAsia" w:ascii="宋体" w:hAnsi="宋体" w:eastAsia="宋体" w:cs="宋体"/>
                <w:sz w:val="24"/>
                <w:szCs w:val="24"/>
              </w:rPr>
              <w:t>响应文件封面 其他应说明的事项.docx 供应商资格证明文件.docx 响应函 供应商承诺书.docx</w:t>
            </w:r>
          </w:p>
        </w:tc>
      </w:tr>
      <w:tr w14:paraId="3B6668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946" w:hRule="atLeast"/>
        </w:trPr>
        <w:tc>
          <w:tcPr>
            <w:tcW w:w="1080" w:type="dxa"/>
            <w:vAlign w:val="center"/>
          </w:tcPr>
          <w:p w14:paraId="719C2617">
            <w:pPr>
              <w:pStyle w:val="8"/>
              <w:keepNext w:val="0"/>
              <w:keepLines w:val="0"/>
              <w:pageBreakBefore w:val="0"/>
              <w:widowControl/>
              <w:wordWrap/>
              <w:overflowPunct/>
              <w:topLinePunct w:val="0"/>
              <w:bidi w:val="0"/>
              <w:spacing w:line="360" w:lineRule="auto"/>
              <w:ind w:left="0" w:right="0" w:firstLine="480" w:firstLineChars="200"/>
              <w:jc w:val="both"/>
              <w:rPr>
                <w:rFonts w:hint="eastAsia" w:ascii="宋体" w:hAnsi="宋体" w:eastAsia="宋体" w:cs="宋体"/>
                <w:sz w:val="24"/>
                <w:szCs w:val="24"/>
              </w:rPr>
            </w:pPr>
            <w:r>
              <w:rPr>
                <w:rFonts w:hint="eastAsia" w:ascii="宋体" w:hAnsi="宋体" w:eastAsia="宋体" w:cs="宋体"/>
                <w:sz w:val="24"/>
                <w:szCs w:val="24"/>
              </w:rPr>
              <w:t>2</w:t>
            </w:r>
          </w:p>
        </w:tc>
        <w:tc>
          <w:tcPr>
            <w:tcW w:w="3240" w:type="dxa"/>
            <w:vAlign w:val="center"/>
          </w:tcPr>
          <w:p w14:paraId="036ACE10">
            <w:pPr>
              <w:pStyle w:val="8"/>
              <w:keepNext w:val="0"/>
              <w:keepLines w:val="0"/>
              <w:pageBreakBefore w:val="0"/>
              <w:widowControl/>
              <w:wordWrap/>
              <w:overflowPunct/>
              <w:topLinePunct w:val="0"/>
              <w:bidi w:val="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营业执照</w:t>
            </w:r>
          </w:p>
        </w:tc>
        <w:tc>
          <w:tcPr>
            <w:tcW w:w="4319" w:type="dxa"/>
            <w:vAlign w:val="center"/>
          </w:tcPr>
          <w:p w14:paraId="0BC26C17">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z w:val="24"/>
                <w:szCs w:val="24"/>
              </w:rPr>
            </w:pPr>
            <w:r>
              <w:rPr>
                <w:rFonts w:hint="eastAsia" w:ascii="宋体" w:hAnsi="宋体" w:eastAsia="宋体" w:cs="宋体"/>
                <w:sz w:val="24"/>
                <w:szCs w:val="24"/>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w="2159" w:type="dxa"/>
            <w:vAlign w:val="center"/>
          </w:tcPr>
          <w:p w14:paraId="1B5DDD1A">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z w:val="24"/>
                <w:szCs w:val="24"/>
              </w:rPr>
            </w:pPr>
            <w:r>
              <w:rPr>
                <w:rFonts w:hint="eastAsia" w:ascii="宋体" w:hAnsi="宋体" w:eastAsia="宋体" w:cs="宋体"/>
                <w:sz w:val="24"/>
                <w:szCs w:val="24"/>
              </w:rPr>
              <w:t>其他应说明的事项.docx 供应商资格证明文件.docx 响应函</w:t>
            </w:r>
          </w:p>
        </w:tc>
      </w:tr>
      <w:tr w14:paraId="199137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188" w:hRule="atLeast"/>
        </w:trPr>
        <w:tc>
          <w:tcPr>
            <w:tcW w:w="1080" w:type="dxa"/>
            <w:vAlign w:val="center"/>
          </w:tcPr>
          <w:p w14:paraId="70A5043B">
            <w:pPr>
              <w:pStyle w:val="8"/>
              <w:keepNext w:val="0"/>
              <w:keepLines w:val="0"/>
              <w:pageBreakBefore w:val="0"/>
              <w:widowControl/>
              <w:wordWrap/>
              <w:overflowPunct/>
              <w:topLinePunct w:val="0"/>
              <w:bidi w:val="0"/>
              <w:spacing w:line="360" w:lineRule="auto"/>
              <w:ind w:left="0" w:right="0" w:firstLine="480" w:firstLineChars="200"/>
              <w:jc w:val="both"/>
              <w:rPr>
                <w:rFonts w:hint="eastAsia" w:ascii="宋体" w:hAnsi="宋体" w:eastAsia="宋体" w:cs="宋体"/>
                <w:sz w:val="24"/>
                <w:szCs w:val="24"/>
              </w:rPr>
            </w:pPr>
            <w:r>
              <w:rPr>
                <w:rFonts w:hint="eastAsia" w:ascii="宋体" w:hAnsi="宋体" w:eastAsia="宋体" w:cs="宋体"/>
                <w:sz w:val="24"/>
                <w:szCs w:val="24"/>
              </w:rPr>
              <w:t>3</w:t>
            </w:r>
          </w:p>
        </w:tc>
        <w:tc>
          <w:tcPr>
            <w:tcW w:w="3240" w:type="dxa"/>
            <w:vAlign w:val="center"/>
          </w:tcPr>
          <w:p w14:paraId="4745F48B">
            <w:pPr>
              <w:pStyle w:val="8"/>
              <w:keepNext w:val="0"/>
              <w:keepLines w:val="0"/>
              <w:pageBreakBefore w:val="0"/>
              <w:widowControl/>
              <w:wordWrap/>
              <w:overflowPunct/>
              <w:topLinePunct w:val="0"/>
              <w:bidi w:val="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健全的财务会计制度的证明材料</w:t>
            </w:r>
          </w:p>
        </w:tc>
        <w:tc>
          <w:tcPr>
            <w:tcW w:w="4319" w:type="dxa"/>
            <w:vAlign w:val="center"/>
          </w:tcPr>
          <w:p w14:paraId="323D3034">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z w:val="24"/>
                <w:szCs w:val="24"/>
              </w:rPr>
            </w:pPr>
            <w:r>
              <w:rPr>
                <w:rFonts w:hint="eastAsia" w:ascii="宋体" w:hAnsi="宋体" w:eastAsia="宋体" w:cs="宋体"/>
                <w:sz w:val="24"/>
                <w:szCs w:val="24"/>
              </w:rPr>
              <w:t>提供具有财务审计资质单位出具的完整的赋码的2023年度或者2024年度财务报告（成立时间至响应文件递交截止时间不足一年的可提供成立后任意时段的资产负债表）或响应文件递交截止时间前六个月内的资信证明。供应商需在项目电子化交易系统中按要求上传相应证明文件并进行电子签章。</w:t>
            </w:r>
          </w:p>
        </w:tc>
        <w:tc>
          <w:tcPr>
            <w:tcW w:w="2159" w:type="dxa"/>
            <w:vAlign w:val="center"/>
          </w:tcPr>
          <w:p w14:paraId="2F60ACC1">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z w:val="24"/>
                <w:szCs w:val="24"/>
              </w:rPr>
            </w:pPr>
            <w:r>
              <w:rPr>
                <w:rFonts w:hint="eastAsia" w:ascii="宋体" w:hAnsi="宋体" w:eastAsia="宋体" w:cs="宋体"/>
                <w:sz w:val="24"/>
                <w:szCs w:val="24"/>
              </w:rPr>
              <w:t>其他应说明的事项.docx 供应商资格证明文件.docx 响应函</w:t>
            </w:r>
          </w:p>
        </w:tc>
      </w:tr>
      <w:tr w14:paraId="3D9AC6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188" w:hRule="atLeast"/>
        </w:trPr>
        <w:tc>
          <w:tcPr>
            <w:tcW w:w="1080" w:type="dxa"/>
            <w:vAlign w:val="center"/>
          </w:tcPr>
          <w:p w14:paraId="7CEADC7E">
            <w:pPr>
              <w:pStyle w:val="8"/>
              <w:keepNext w:val="0"/>
              <w:keepLines w:val="0"/>
              <w:pageBreakBefore w:val="0"/>
              <w:widowControl/>
              <w:wordWrap/>
              <w:overflowPunct/>
              <w:topLinePunct w:val="0"/>
              <w:bidi w:val="0"/>
              <w:spacing w:line="360" w:lineRule="auto"/>
              <w:ind w:left="0" w:right="0" w:firstLine="480" w:firstLineChars="200"/>
              <w:jc w:val="both"/>
              <w:rPr>
                <w:rFonts w:hint="eastAsia" w:ascii="宋体" w:hAnsi="宋体" w:eastAsia="宋体" w:cs="宋体"/>
                <w:sz w:val="24"/>
                <w:szCs w:val="24"/>
              </w:rPr>
            </w:pPr>
            <w:r>
              <w:rPr>
                <w:rFonts w:hint="eastAsia" w:ascii="宋体" w:hAnsi="宋体" w:eastAsia="宋体" w:cs="宋体"/>
                <w:sz w:val="24"/>
                <w:szCs w:val="24"/>
              </w:rPr>
              <w:t>4</w:t>
            </w:r>
          </w:p>
        </w:tc>
        <w:tc>
          <w:tcPr>
            <w:tcW w:w="3240" w:type="dxa"/>
            <w:vAlign w:val="center"/>
          </w:tcPr>
          <w:p w14:paraId="65CD3315">
            <w:pPr>
              <w:pStyle w:val="8"/>
              <w:keepNext w:val="0"/>
              <w:keepLines w:val="0"/>
              <w:pageBreakBefore w:val="0"/>
              <w:widowControl/>
              <w:wordWrap/>
              <w:overflowPunct/>
              <w:topLinePunct w:val="0"/>
              <w:bidi w:val="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税收缴纳证明</w:t>
            </w:r>
          </w:p>
        </w:tc>
        <w:tc>
          <w:tcPr>
            <w:tcW w:w="4319" w:type="dxa"/>
            <w:vAlign w:val="center"/>
          </w:tcPr>
          <w:p w14:paraId="2C6242FD">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z w:val="24"/>
                <w:szCs w:val="24"/>
              </w:rPr>
            </w:pPr>
            <w:r>
              <w:rPr>
                <w:rFonts w:hint="eastAsia" w:ascii="宋体" w:hAnsi="宋体" w:eastAsia="宋体" w:cs="宋体"/>
                <w:sz w:val="24"/>
                <w:szCs w:val="24"/>
              </w:rPr>
              <w:t>供应商提供2024年6月至今已缴纳的至少一个月的纳税证明或完税证明（除印花税以外的税种），纳税证明或完税证明上应有代收机构或税务机关的公章或业务专用章，依法免税的单位应提供相关证明材料。供应商需在项目电子化交易系统中按要求上传相应证明文件并进行电子签章。</w:t>
            </w:r>
          </w:p>
        </w:tc>
        <w:tc>
          <w:tcPr>
            <w:tcW w:w="2159" w:type="dxa"/>
            <w:vAlign w:val="center"/>
          </w:tcPr>
          <w:p w14:paraId="1FAD52AA">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z w:val="24"/>
                <w:szCs w:val="24"/>
              </w:rPr>
            </w:pPr>
            <w:r>
              <w:rPr>
                <w:rFonts w:hint="eastAsia" w:ascii="宋体" w:hAnsi="宋体" w:eastAsia="宋体" w:cs="宋体"/>
                <w:sz w:val="24"/>
                <w:szCs w:val="24"/>
              </w:rPr>
              <w:t>其他应说明的事项.docx 供应商资格证明文件.docx</w:t>
            </w:r>
          </w:p>
        </w:tc>
      </w:tr>
      <w:tr w14:paraId="729229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75" w:hRule="atLeast"/>
        </w:trPr>
        <w:tc>
          <w:tcPr>
            <w:tcW w:w="1080" w:type="dxa"/>
            <w:vAlign w:val="center"/>
          </w:tcPr>
          <w:p w14:paraId="0B51C845">
            <w:pPr>
              <w:pStyle w:val="8"/>
              <w:keepNext w:val="0"/>
              <w:keepLines w:val="0"/>
              <w:pageBreakBefore w:val="0"/>
              <w:widowControl/>
              <w:wordWrap/>
              <w:overflowPunct/>
              <w:topLinePunct w:val="0"/>
              <w:bidi w:val="0"/>
              <w:spacing w:line="360" w:lineRule="auto"/>
              <w:ind w:left="0" w:right="0" w:firstLine="480" w:firstLineChars="200"/>
              <w:jc w:val="both"/>
              <w:rPr>
                <w:rFonts w:hint="eastAsia" w:ascii="宋体" w:hAnsi="宋体" w:eastAsia="宋体" w:cs="宋体"/>
                <w:sz w:val="24"/>
                <w:szCs w:val="24"/>
              </w:rPr>
            </w:pPr>
            <w:r>
              <w:rPr>
                <w:rFonts w:hint="eastAsia" w:ascii="宋体" w:hAnsi="宋体" w:eastAsia="宋体" w:cs="宋体"/>
                <w:sz w:val="24"/>
                <w:szCs w:val="24"/>
              </w:rPr>
              <w:t>5</w:t>
            </w:r>
          </w:p>
        </w:tc>
        <w:tc>
          <w:tcPr>
            <w:tcW w:w="3240" w:type="dxa"/>
            <w:vAlign w:val="center"/>
          </w:tcPr>
          <w:p w14:paraId="39AE4DBB">
            <w:pPr>
              <w:pStyle w:val="8"/>
              <w:keepNext w:val="0"/>
              <w:keepLines w:val="0"/>
              <w:pageBreakBefore w:val="0"/>
              <w:widowControl/>
              <w:wordWrap/>
              <w:overflowPunct/>
              <w:topLinePunct w:val="0"/>
              <w:bidi w:val="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社会保障资金缴纳证明</w:t>
            </w:r>
          </w:p>
        </w:tc>
        <w:tc>
          <w:tcPr>
            <w:tcW w:w="4319" w:type="dxa"/>
            <w:vAlign w:val="center"/>
          </w:tcPr>
          <w:p w14:paraId="1A48C984">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z w:val="24"/>
                <w:szCs w:val="24"/>
              </w:rPr>
            </w:pPr>
            <w:r>
              <w:rPr>
                <w:rFonts w:hint="eastAsia" w:ascii="宋体" w:hAnsi="宋体" w:eastAsia="宋体" w:cs="宋体"/>
                <w:sz w:val="24"/>
                <w:szCs w:val="24"/>
              </w:rPr>
              <w:t>供应商提供2024年6月至今已缴存的至少一个月的社会保障资金缴存单据或社保机构开具的社会保险参保缴费情况证明，单据或证明上应有社保机构或代收机构的公章或业务专用章，依法不需要缴纳社会保障资金的单位应提供相关证明材料。供应商需在项目电子化交易系统中按要求上传相应证明文件并进行电子签章。</w:t>
            </w:r>
          </w:p>
        </w:tc>
        <w:tc>
          <w:tcPr>
            <w:tcW w:w="2159" w:type="dxa"/>
            <w:vAlign w:val="center"/>
          </w:tcPr>
          <w:p w14:paraId="4181ECD7">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z w:val="24"/>
                <w:szCs w:val="24"/>
              </w:rPr>
            </w:pPr>
            <w:r>
              <w:rPr>
                <w:rFonts w:hint="eastAsia" w:ascii="宋体" w:hAnsi="宋体" w:eastAsia="宋体" w:cs="宋体"/>
                <w:sz w:val="24"/>
                <w:szCs w:val="24"/>
              </w:rPr>
              <w:t>其他应说明的事项.docx 供应商资格证明文件.docx</w:t>
            </w:r>
          </w:p>
        </w:tc>
      </w:tr>
      <w:tr w14:paraId="139F39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673" w:hRule="atLeast"/>
        </w:trPr>
        <w:tc>
          <w:tcPr>
            <w:tcW w:w="1080" w:type="dxa"/>
            <w:vAlign w:val="center"/>
          </w:tcPr>
          <w:p w14:paraId="4DC2CD4E">
            <w:pPr>
              <w:pStyle w:val="8"/>
              <w:keepNext w:val="0"/>
              <w:keepLines w:val="0"/>
              <w:pageBreakBefore w:val="0"/>
              <w:widowControl/>
              <w:wordWrap/>
              <w:overflowPunct/>
              <w:topLinePunct w:val="0"/>
              <w:bidi w:val="0"/>
              <w:spacing w:line="360" w:lineRule="auto"/>
              <w:ind w:left="0" w:right="0" w:firstLine="480" w:firstLineChars="200"/>
              <w:jc w:val="both"/>
              <w:rPr>
                <w:rFonts w:hint="eastAsia" w:ascii="宋体" w:hAnsi="宋体" w:eastAsia="宋体" w:cs="宋体"/>
                <w:sz w:val="24"/>
                <w:szCs w:val="24"/>
              </w:rPr>
            </w:pPr>
            <w:r>
              <w:rPr>
                <w:rFonts w:hint="eastAsia" w:ascii="宋体" w:hAnsi="宋体" w:eastAsia="宋体" w:cs="宋体"/>
                <w:sz w:val="24"/>
                <w:szCs w:val="24"/>
              </w:rPr>
              <w:t>6</w:t>
            </w:r>
          </w:p>
        </w:tc>
        <w:tc>
          <w:tcPr>
            <w:tcW w:w="3240" w:type="dxa"/>
            <w:vAlign w:val="center"/>
          </w:tcPr>
          <w:p w14:paraId="25C64E4C">
            <w:pPr>
              <w:pStyle w:val="8"/>
              <w:keepNext w:val="0"/>
              <w:keepLines w:val="0"/>
              <w:pageBreakBefore w:val="0"/>
              <w:widowControl/>
              <w:wordWrap/>
              <w:overflowPunct/>
              <w:topLinePunct w:val="0"/>
              <w:bidi w:val="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信用查询</w:t>
            </w:r>
          </w:p>
        </w:tc>
        <w:tc>
          <w:tcPr>
            <w:tcW w:w="4319" w:type="dxa"/>
            <w:vAlign w:val="center"/>
          </w:tcPr>
          <w:p w14:paraId="41A81CFA">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z w:val="24"/>
                <w:szCs w:val="24"/>
              </w:rPr>
            </w:pPr>
            <w:r>
              <w:rPr>
                <w:rFonts w:hint="eastAsia" w:ascii="宋体" w:hAnsi="宋体" w:eastAsia="宋体" w:cs="宋体"/>
                <w:sz w:val="24"/>
                <w:szCs w:val="24"/>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p>
        </w:tc>
        <w:tc>
          <w:tcPr>
            <w:tcW w:w="2159" w:type="dxa"/>
            <w:vAlign w:val="center"/>
          </w:tcPr>
          <w:p w14:paraId="629D3790">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z w:val="24"/>
                <w:szCs w:val="24"/>
              </w:rPr>
            </w:pPr>
            <w:r>
              <w:rPr>
                <w:rFonts w:hint="eastAsia" w:ascii="宋体" w:hAnsi="宋体" w:eastAsia="宋体" w:cs="宋体"/>
                <w:sz w:val="24"/>
                <w:szCs w:val="24"/>
              </w:rPr>
              <w:t>其他应说明的事项.docx 供应商资格证明文件.docx</w:t>
            </w:r>
          </w:p>
        </w:tc>
      </w:tr>
      <w:tr w14:paraId="29835C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217" w:hRule="atLeast"/>
        </w:trPr>
        <w:tc>
          <w:tcPr>
            <w:tcW w:w="1080" w:type="dxa"/>
            <w:vAlign w:val="center"/>
          </w:tcPr>
          <w:p w14:paraId="3624376D">
            <w:pPr>
              <w:pStyle w:val="8"/>
              <w:keepNext w:val="0"/>
              <w:keepLines w:val="0"/>
              <w:pageBreakBefore w:val="0"/>
              <w:widowControl/>
              <w:wordWrap/>
              <w:overflowPunct/>
              <w:topLinePunct w:val="0"/>
              <w:bidi w:val="0"/>
              <w:spacing w:line="360" w:lineRule="auto"/>
              <w:ind w:left="0" w:right="0" w:firstLine="480" w:firstLineChars="200"/>
              <w:jc w:val="both"/>
              <w:rPr>
                <w:rFonts w:hint="eastAsia" w:ascii="宋体" w:hAnsi="宋体" w:eastAsia="宋体" w:cs="宋体"/>
                <w:sz w:val="24"/>
                <w:szCs w:val="24"/>
              </w:rPr>
            </w:pPr>
            <w:r>
              <w:rPr>
                <w:rFonts w:hint="eastAsia" w:ascii="宋体" w:hAnsi="宋体" w:eastAsia="宋体" w:cs="宋体"/>
                <w:sz w:val="24"/>
                <w:szCs w:val="24"/>
              </w:rPr>
              <w:t>7</w:t>
            </w:r>
          </w:p>
        </w:tc>
        <w:tc>
          <w:tcPr>
            <w:tcW w:w="3240" w:type="dxa"/>
            <w:vAlign w:val="center"/>
          </w:tcPr>
          <w:p w14:paraId="79CCE005">
            <w:pPr>
              <w:pStyle w:val="8"/>
              <w:keepNext w:val="0"/>
              <w:keepLines w:val="0"/>
              <w:pageBreakBefore w:val="0"/>
              <w:widowControl/>
              <w:wordWrap/>
              <w:overflowPunct/>
              <w:topLinePunct w:val="0"/>
              <w:bidi w:val="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无重大违法声明</w:t>
            </w:r>
          </w:p>
        </w:tc>
        <w:tc>
          <w:tcPr>
            <w:tcW w:w="4319" w:type="dxa"/>
            <w:vAlign w:val="center"/>
          </w:tcPr>
          <w:p w14:paraId="6253AE56">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z w:val="24"/>
                <w:szCs w:val="24"/>
              </w:rPr>
            </w:pPr>
            <w:r>
              <w:rPr>
                <w:rFonts w:hint="eastAsia" w:ascii="宋体" w:hAnsi="宋体" w:eastAsia="宋体" w:cs="宋体"/>
                <w:sz w:val="24"/>
                <w:szCs w:val="24"/>
              </w:rPr>
              <w:t>参加政府采购活动前三年内，在经营活动中没有重大违法记录的书面声明。供应商需在项目电子化交易系统中按要求上传相应证明文件并进行电子签章。</w:t>
            </w:r>
          </w:p>
        </w:tc>
        <w:tc>
          <w:tcPr>
            <w:tcW w:w="2159" w:type="dxa"/>
            <w:vAlign w:val="center"/>
          </w:tcPr>
          <w:p w14:paraId="4040368C">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z w:val="24"/>
                <w:szCs w:val="24"/>
              </w:rPr>
            </w:pPr>
            <w:r>
              <w:rPr>
                <w:rFonts w:hint="eastAsia" w:ascii="宋体" w:hAnsi="宋体" w:eastAsia="宋体" w:cs="宋体"/>
                <w:sz w:val="24"/>
                <w:szCs w:val="24"/>
              </w:rPr>
              <w:t>其他应说明的事项.docx 供应商资格证明文件.docx</w:t>
            </w:r>
          </w:p>
        </w:tc>
      </w:tr>
      <w:tr w14:paraId="391081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188" w:hRule="atLeast"/>
        </w:trPr>
        <w:tc>
          <w:tcPr>
            <w:tcW w:w="1080" w:type="dxa"/>
            <w:vAlign w:val="center"/>
          </w:tcPr>
          <w:p w14:paraId="04DF28A3">
            <w:pPr>
              <w:pStyle w:val="8"/>
              <w:keepNext w:val="0"/>
              <w:keepLines w:val="0"/>
              <w:pageBreakBefore w:val="0"/>
              <w:widowControl/>
              <w:wordWrap/>
              <w:overflowPunct/>
              <w:topLinePunct w:val="0"/>
              <w:bidi w:val="0"/>
              <w:spacing w:line="360" w:lineRule="auto"/>
              <w:ind w:left="0" w:right="0" w:firstLine="480" w:firstLineChars="200"/>
              <w:jc w:val="both"/>
              <w:rPr>
                <w:rFonts w:hint="eastAsia" w:ascii="宋体" w:hAnsi="宋体" w:eastAsia="宋体" w:cs="宋体"/>
                <w:sz w:val="24"/>
                <w:szCs w:val="24"/>
              </w:rPr>
            </w:pPr>
            <w:r>
              <w:rPr>
                <w:rFonts w:hint="eastAsia" w:ascii="宋体" w:hAnsi="宋体" w:eastAsia="宋体" w:cs="宋体"/>
                <w:sz w:val="24"/>
                <w:szCs w:val="24"/>
              </w:rPr>
              <w:t>8</w:t>
            </w:r>
          </w:p>
        </w:tc>
        <w:tc>
          <w:tcPr>
            <w:tcW w:w="3240" w:type="dxa"/>
            <w:vAlign w:val="center"/>
          </w:tcPr>
          <w:p w14:paraId="6B8A65AC">
            <w:pPr>
              <w:pStyle w:val="8"/>
              <w:keepNext w:val="0"/>
              <w:keepLines w:val="0"/>
              <w:pageBreakBefore w:val="0"/>
              <w:widowControl/>
              <w:wordWrap/>
              <w:overflowPunct/>
              <w:topLinePunct w:val="0"/>
              <w:bidi w:val="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资质要求</w:t>
            </w:r>
          </w:p>
        </w:tc>
        <w:tc>
          <w:tcPr>
            <w:tcW w:w="4319" w:type="dxa"/>
            <w:vAlign w:val="center"/>
          </w:tcPr>
          <w:p w14:paraId="011151DC">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z w:val="24"/>
                <w:szCs w:val="24"/>
              </w:rPr>
            </w:pPr>
            <w:r>
              <w:rPr>
                <w:rFonts w:hint="eastAsia" w:ascii="宋体" w:hAnsi="宋体" w:eastAsia="宋体" w:cs="宋体"/>
                <w:sz w:val="24"/>
                <w:szCs w:val="24"/>
              </w:rPr>
              <w:t>供应商为代理商的，须出具医疗器械经营许可证（或医疗器械经营备案凭证）和制造商的医疗器械生产许可证（或医疗器械生产备案凭证）；供应商为制造商的，须出具医疗器械生产许可证（或医疗器械生产备案凭证）。供应商需在项目电子化交易系统中按要求上传相应证明文件并进行电子签章。</w:t>
            </w:r>
          </w:p>
        </w:tc>
        <w:tc>
          <w:tcPr>
            <w:tcW w:w="2159" w:type="dxa"/>
            <w:vAlign w:val="center"/>
          </w:tcPr>
          <w:p w14:paraId="064D4371">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z w:val="24"/>
                <w:szCs w:val="24"/>
              </w:rPr>
            </w:pPr>
            <w:r>
              <w:rPr>
                <w:rFonts w:hint="eastAsia" w:ascii="宋体" w:hAnsi="宋体" w:eastAsia="宋体" w:cs="宋体"/>
                <w:sz w:val="24"/>
                <w:szCs w:val="24"/>
              </w:rPr>
              <w:t>产品技术参数表 其他应说明的事项.docx 标的清单 供应商资格证明文件.docx</w:t>
            </w:r>
          </w:p>
        </w:tc>
      </w:tr>
      <w:tr w14:paraId="039415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217" w:hRule="atLeast"/>
        </w:trPr>
        <w:tc>
          <w:tcPr>
            <w:tcW w:w="1080" w:type="dxa"/>
            <w:vAlign w:val="center"/>
          </w:tcPr>
          <w:p w14:paraId="40095F23">
            <w:pPr>
              <w:pStyle w:val="8"/>
              <w:keepNext w:val="0"/>
              <w:keepLines w:val="0"/>
              <w:pageBreakBefore w:val="0"/>
              <w:widowControl/>
              <w:wordWrap/>
              <w:overflowPunct/>
              <w:topLinePunct w:val="0"/>
              <w:bidi w:val="0"/>
              <w:spacing w:line="360" w:lineRule="auto"/>
              <w:ind w:left="0" w:right="0" w:firstLine="480" w:firstLineChars="200"/>
              <w:jc w:val="both"/>
              <w:rPr>
                <w:rFonts w:hint="eastAsia" w:ascii="宋体" w:hAnsi="宋体" w:eastAsia="宋体" w:cs="宋体"/>
                <w:sz w:val="24"/>
                <w:szCs w:val="24"/>
              </w:rPr>
            </w:pPr>
            <w:r>
              <w:rPr>
                <w:rFonts w:hint="eastAsia" w:ascii="宋体" w:hAnsi="宋体" w:eastAsia="宋体" w:cs="宋体"/>
                <w:sz w:val="24"/>
                <w:szCs w:val="24"/>
              </w:rPr>
              <w:t>9</w:t>
            </w:r>
          </w:p>
        </w:tc>
        <w:tc>
          <w:tcPr>
            <w:tcW w:w="3240" w:type="dxa"/>
            <w:vAlign w:val="center"/>
          </w:tcPr>
          <w:p w14:paraId="03F590B2">
            <w:pPr>
              <w:pStyle w:val="8"/>
              <w:keepNext w:val="0"/>
              <w:keepLines w:val="0"/>
              <w:pageBreakBefore w:val="0"/>
              <w:widowControl/>
              <w:wordWrap/>
              <w:overflowPunct/>
              <w:topLinePunct w:val="0"/>
              <w:bidi w:val="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资质要求</w:t>
            </w:r>
          </w:p>
        </w:tc>
        <w:tc>
          <w:tcPr>
            <w:tcW w:w="4319" w:type="dxa"/>
            <w:vAlign w:val="center"/>
          </w:tcPr>
          <w:p w14:paraId="24706ABE">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z w:val="24"/>
                <w:szCs w:val="24"/>
              </w:rPr>
            </w:pPr>
            <w:r>
              <w:rPr>
                <w:rFonts w:hint="eastAsia" w:ascii="宋体" w:hAnsi="宋体" w:eastAsia="宋体" w:cs="宋体"/>
                <w:sz w:val="24"/>
                <w:szCs w:val="24"/>
              </w:rPr>
              <w:t>提供所投产品的医疗器械注册证或医疗器械备案凭证。供应商需在项目电子化交易系统中按要求上传相应证明文件并进行电子签章。</w:t>
            </w:r>
          </w:p>
        </w:tc>
        <w:tc>
          <w:tcPr>
            <w:tcW w:w="2159" w:type="dxa"/>
            <w:vAlign w:val="center"/>
          </w:tcPr>
          <w:p w14:paraId="2292127C">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z w:val="24"/>
                <w:szCs w:val="24"/>
              </w:rPr>
            </w:pPr>
            <w:r>
              <w:rPr>
                <w:rFonts w:hint="eastAsia" w:ascii="宋体" w:hAnsi="宋体" w:eastAsia="宋体" w:cs="宋体"/>
                <w:sz w:val="24"/>
                <w:szCs w:val="24"/>
              </w:rPr>
              <w:t>产品技术参数表 其他应说明的事项.docx 标的清单 供应商资格证明文件.docx</w:t>
            </w:r>
          </w:p>
        </w:tc>
      </w:tr>
      <w:tr w14:paraId="3233D5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78" w:hRule="atLeast"/>
        </w:trPr>
        <w:tc>
          <w:tcPr>
            <w:tcW w:w="1080" w:type="dxa"/>
            <w:vAlign w:val="center"/>
          </w:tcPr>
          <w:p w14:paraId="20DAC79B">
            <w:pPr>
              <w:pStyle w:val="8"/>
              <w:keepNext w:val="0"/>
              <w:keepLines w:val="0"/>
              <w:pageBreakBefore w:val="0"/>
              <w:widowControl/>
              <w:wordWrap/>
              <w:overflowPunct/>
              <w:topLinePunct w:val="0"/>
              <w:bidi w:val="0"/>
              <w:spacing w:line="360" w:lineRule="auto"/>
              <w:ind w:left="0" w:right="0" w:firstLine="480" w:firstLineChars="200"/>
              <w:jc w:val="both"/>
              <w:rPr>
                <w:rFonts w:hint="eastAsia" w:ascii="宋体" w:hAnsi="宋体" w:eastAsia="宋体" w:cs="宋体"/>
                <w:sz w:val="24"/>
                <w:szCs w:val="24"/>
              </w:rPr>
            </w:pPr>
            <w:r>
              <w:rPr>
                <w:rFonts w:hint="eastAsia" w:ascii="宋体" w:hAnsi="宋体" w:eastAsia="宋体" w:cs="宋体"/>
                <w:sz w:val="24"/>
                <w:szCs w:val="24"/>
              </w:rPr>
              <w:t>10</w:t>
            </w:r>
          </w:p>
        </w:tc>
        <w:tc>
          <w:tcPr>
            <w:tcW w:w="3240" w:type="dxa"/>
            <w:vAlign w:val="center"/>
          </w:tcPr>
          <w:p w14:paraId="229B1446">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z w:val="24"/>
                <w:szCs w:val="24"/>
              </w:rPr>
            </w:pPr>
            <w:r>
              <w:rPr>
                <w:rFonts w:hint="eastAsia" w:ascii="宋体" w:hAnsi="宋体" w:eastAsia="宋体" w:cs="宋体"/>
                <w:sz w:val="24"/>
                <w:szCs w:val="24"/>
              </w:rPr>
              <w:t>法定代表人或其授权委托书</w:t>
            </w:r>
          </w:p>
        </w:tc>
        <w:tc>
          <w:tcPr>
            <w:tcW w:w="4319" w:type="dxa"/>
            <w:vAlign w:val="center"/>
          </w:tcPr>
          <w:p w14:paraId="05C85409">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z w:val="24"/>
                <w:szCs w:val="24"/>
              </w:rPr>
            </w:pPr>
            <w:r>
              <w:rPr>
                <w:rFonts w:hint="eastAsia" w:ascii="宋体" w:hAnsi="宋体" w:eastAsia="宋体" w:cs="宋体"/>
                <w:sz w:val="24"/>
                <w:szCs w:val="24"/>
              </w:rPr>
              <w:t>法定代表人直接参加竞争性磋商的，须出具法定代表人身份证明书；法定代表人授权代表参加竞争性磋商的，须出具法定代表人授权委托书。供应商需在项目电子化交易系统中按要求上传相应证明文件并进行电子签章。</w:t>
            </w:r>
          </w:p>
        </w:tc>
        <w:tc>
          <w:tcPr>
            <w:tcW w:w="2159" w:type="dxa"/>
            <w:vAlign w:val="center"/>
          </w:tcPr>
          <w:p w14:paraId="3DAFC201">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z w:val="24"/>
                <w:szCs w:val="24"/>
              </w:rPr>
            </w:pPr>
            <w:r>
              <w:rPr>
                <w:rFonts w:hint="eastAsia" w:ascii="宋体" w:hAnsi="宋体" w:eastAsia="宋体" w:cs="宋体"/>
                <w:sz w:val="24"/>
                <w:szCs w:val="24"/>
              </w:rPr>
              <w:t>其他应说明的事项.docx 供应商资格证明文件.docx</w:t>
            </w:r>
          </w:p>
        </w:tc>
      </w:tr>
      <w:tr w14:paraId="5ABB86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80" w:hRule="atLeast"/>
        </w:trPr>
        <w:tc>
          <w:tcPr>
            <w:tcW w:w="1080" w:type="dxa"/>
            <w:vAlign w:val="center"/>
          </w:tcPr>
          <w:p w14:paraId="6B54C19D">
            <w:pPr>
              <w:pStyle w:val="8"/>
              <w:keepNext w:val="0"/>
              <w:keepLines w:val="0"/>
              <w:pageBreakBefore w:val="0"/>
              <w:widowControl/>
              <w:wordWrap/>
              <w:overflowPunct/>
              <w:topLinePunct w:val="0"/>
              <w:bidi w:val="0"/>
              <w:spacing w:line="360" w:lineRule="auto"/>
              <w:ind w:left="0" w:right="0" w:firstLine="480" w:firstLineChars="200"/>
              <w:jc w:val="both"/>
              <w:rPr>
                <w:rFonts w:hint="eastAsia" w:ascii="宋体" w:hAnsi="宋体" w:eastAsia="宋体" w:cs="宋体"/>
                <w:sz w:val="24"/>
                <w:szCs w:val="24"/>
              </w:rPr>
            </w:pPr>
            <w:r>
              <w:rPr>
                <w:rFonts w:hint="eastAsia" w:ascii="宋体" w:hAnsi="宋体" w:eastAsia="宋体" w:cs="宋体"/>
                <w:sz w:val="24"/>
                <w:szCs w:val="24"/>
              </w:rPr>
              <w:t>11</w:t>
            </w:r>
          </w:p>
        </w:tc>
        <w:tc>
          <w:tcPr>
            <w:tcW w:w="3240" w:type="dxa"/>
            <w:vAlign w:val="center"/>
          </w:tcPr>
          <w:p w14:paraId="64629C5B">
            <w:pPr>
              <w:pStyle w:val="8"/>
              <w:keepNext w:val="0"/>
              <w:keepLines w:val="0"/>
              <w:pageBreakBefore w:val="0"/>
              <w:widowControl/>
              <w:wordWrap/>
              <w:overflowPunct/>
              <w:topLinePunct w:val="0"/>
              <w:bidi w:val="0"/>
              <w:spacing w:line="360" w:lineRule="auto"/>
              <w:ind w:left="0" w:right="0" w:firstLine="480" w:firstLineChars="200"/>
              <w:jc w:val="both"/>
              <w:rPr>
                <w:rFonts w:hint="eastAsia" w:ascii="宋体" w:hAnsi="宋体" w:eastAsia="宋体" w:cs="宋体"/>
                <w:sz w:val="24"/>
                <w:szCs w:val="24"/>
              </w:rPr>
            </w:pPr>
            <w:r>
              <w:rPr>
                <w:rFonts w:hint="eastAsia" w:ascii="宋体" w:hAnsi="宋体" w:eastAsia="宋体" w:cs="宋体"/>
                <w:sz w:val="24"/>
                <w:szCs w:val="24"/>
              </w:rPr>
              <w:t>不接受联合体磋商</w:t>
            </w:r>
          </w:p>
        </w:tc>
        <w:tc>
          <w:tcPr>
            <w:tcW w:w="4319" w:type="dxa"/>
            <w:vAlign w:val="center"/>
          </w:tcPr>
          <w:p w14:paraId="30BCA8C3">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z w:val="24"/>
                <w:szCs w:val="24"/>
              </w:rPr>
            </w:pPr>
            <w:r>
              <w:rPr>
                <w:rFonts w:hint="eastAsia" w:ascii="宋体" w:hAnsi="宋体" w:eastAsia="宋体" w:cs="宋体"/>
                <w:sz w:val="24"/>
                <w:szCs w:val="24"/>
              </w:rPr>
              <w:t>本项目不接受联合体磋商。供应商需在项目电子化交易系统中按要求上传相应证明文件并进行电子签章。</w:t>
            </w:r>
          </w:p>
        </w:tc>
        <w:tc>
          <w:tcPr>
            <w:tcW w:w="2159" w:type="dxa"/>
            <w:vAlign w:val="center"/>
          </w:tcPr>
          <w:p w14:paraId="06068229">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z w:val="24"/>
                <w:szCs w:val="24"/>
              </w:rPr>
            </w:pPr>
            <w:r>
              <w:rPr>
                <w:rFonts w:hint="eastAsia" w:ascii="宋体" w:hAnsi="宋体" w:eastAsia="宋体" w:cs="宋体"/>
                <w:sz w:val="24"/>
                <w:szCs w:val="24"/>
              </w:rPr>
              <w:t>其他应说明的事项.docx 供应商资格证明文件.docx</w:t>
            </w:r>
          </w:p>
        </w:tc>
      </w:tr>
    </w:tbl>
    <w:p w14:paraId="4AC4D57C">
      <w:pPr>
        <w:pStyle w:val="2"/>
        <w:keepNext w:val="0"/>
        <w:keepLines w:val="0"/>
        <w:pageBreakBefore w:val="0"/>
        <w:widowControl/>
        <w:wordWrap/>
        <w:overflowPunct/>
        <w:topLinePunct w:val="0"/>
        <w:bidi w:val="0"/>
        <w:spacing w:line="360" w:lineRule="auto"/>
        <w:ind w:left="0" w:right="0" w:firstLine="480" w:firstLineChars="200"/>
        <w:outlineLvl w:val="2"/>
        <w:rPr>
          <w:rFonts w:hint="eastAsia" w:ascii="宋体" w:hAnsi="宋体" w:eastAsia="宋体" w:cs="宋体"/>
          <w:sz w:val="24"/>
          <w:szCs w:val="24"/>
        </w:rPr>
      </w:pPr>
      <w:r>
        <w:rPr>
          <w:rFonts w:hint="eastAsia" w:ascii="宋体" w:hAnsi="宋体" w:eastAsia="宋体" w:cs="宋体"/>
          <w:sz w:val="24"/>
          <w:szCs w:val="24"/>
        </w:rPr>
        <w:t xml:space="preserve"> 9、分包的评审条款</w:t>
      </w:r>
    </w:p>
    <w:p w14:paraId="10475828">
      <w:pPr>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p>
    <w:tbl>
      <w:tblPr>
        <w:tblStyle w:val="6"/>
        <w:tblW w:w="1055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0"/>
        <w:gridCol w:w="740"/>
        <w:gridCol w:w="2080"/>
        <w:gridCol w:w="4043"/>
        <w:gridCol w:w="1960"/>
        <w:gridCol w:w="809"/>
      </w:tblGrid>
      <w:tr w14:paraId="3D31AF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26" w:hRule="atLeast"/>
        </w:trPr>
        <w:tc>
          <w:tcPr>
            <w:tcW w:w="920" w:type="dxa"/>
            <w:shd w:val="clear" w:color="auto" w:fill="E2E2E2"/>
            <w:vAlign w:val="center"/>
          </w:tcPr>
          <w:p w14:paraId="46313E99">
            <w:pPr>
              <w:spacing w:line="300" w:lineRule="auto"/>
              <w:jc w:val="both"/>
              <w:rPr>
                <w:rFonts w:ascii="Arial"/>
                <w:sz w:val="21"/>
              </w:rPr>
            </w:pPr>
          </w:p>
          <w:p w14:paraId="2E889C50">
            <w:pPr>
              <w:spacing w:line="300" w:lineRule="auto"/>
              <w:jc w:val="both"/>
              <w:rPr>
                <w:rFonts w:ascii="Arial"/>
                <w:sz w:val="21"/>
              </w:rPr>
            </w:pPr>
          </w:p>
          <w:p w14:paraId="557F65B6">
            <w:pPr>
              <w:pStyle w:val="7"/>
              <w:spacing w:before="61" w:line="375" w:lineRule="auto"/>
              <w:ind w:left="100" w:leftChars="0" w:right="132" w:rightChars="0" w:hanging="2" w:firstLineChars="0"/>
              <w:jc w:val="both"/>
              <w:rPr>
                <w:rFonts w:hint="eastAsia" w:ascii="宋体" w:hAnsi="宋体" w:eastAsia="宋体" w:cs="宋体"/>
                <w:sz w:val="21"/>
                <w:szCs w:val="21"/>
              </w:rPr>
            </w:pPr>
            <w:r>
              <w:rPr>
                <w:spacing w:val="-1"/>
              </w:rPr>
              <w:t>评审项</w:t>
            </w:r>
            <w:r>
              <w:t xml:space="preserve"> </w:t>
            </w:r>
            <w:r>
              <w:rPr>
                <w:spacing w:val="-4"/>
              </w:rPr>
              <w:t>编号</w:t>
            </w:r>
          </w:p>
        </w:tc>
        <w:tc>
          <w:tcPr>
            <w:tcW w:w="740" w:type="dxa"/>
            <w:shd w:val="clear" w:color="auto" w:fill="E2E2E2"/>
            <w:textDirection w:val="tbRlV"/>
            <w:vAlign w:val="center"/>
          </w:tcPr>
          <w:p w14:paraId="5EBD3D2D">
            <w:pPr>
              <w:pStyle w:val="7"/>
              <w:spacing w:before="101" w:line="215" w:lineRule="auto"/>
              <w:ind w:left="161" w:leftChars="0"/>
              <w:jc w:val="both"/>
              <w:rPr>
                <w:rFonts w:hint="default" w:ascii="宋体" w:hAnsi="宋体" w:eastAsia="宋体" w:cs="宋体"/>
                <w:spacing w:val="-1"/>
                <w:sz w:val="21"/>
                <w:szCs w:val="21"/>
                <w:lang w:val="en-US" w:eastAsia="zh-CN"/>
              </w:rPr>
            </w:pPr>
            <w:r>
              <w:rPr>
                <w:spacing w:val="-65"/>
                <w:w w:val="44"/>
              </w:rPr>
              <w:t>一</w:t>
            </w:r>
            <w:r>
              <w:rPr>
                <w:spacing w:val="3"/>
              </w:rPr>
              <w:t xml:space="preserve">   </w:t>
            </w:r>
            <w:r>
              <w:rPr>
                <w:spacing w:val="1"/>
              </w:rPr>
              <w:t>级  评  审  项</w:t>
            </w:r>
          </w:p>
        </w:tc>
        <w:tc>
          <w:tcPr>
            <w:tcW w:w="2080" w:type="dxa"/>
            <w:shd w:val="clear" w:color="auto" w:fill="E2E2E2"/>
            <w:textDirection w:val="tbRlV"/>
            <w:vAlign w:val="center"/>
          </w:tcPr>
          <w:p w14:paraId="796C427E">
            <w:pPr>
              <w:pStyle w:val="7"/>
              <w:spacing w:before="101" w:line="215" w:lineRule="auto"/>
              <w:ind w:left="0" w:leftChars="0" w:firstLine="0" w:firstLineChars="0"/>
              <w:jc w:val="both"/>
              <w:rPr>
                <w:rFonts w:hint="eastAsia" w:ascii="宋体" w:hAnsi="宋体" w:eastAsia="宋体" w:cs="宋体"/>
                <w:spacing w:val="-1"/>
                <w:sz w:val="21"/>
                <w:szCs w:val="21"/>
                <w:lang w:val="en-US" w:eastAsia="zh-CN"/>
              </w:rPr>
            </w:pPr>
            <w:r>
              <w:rPr>
                <w:spacing w:val="-12"/>
              </w:rPr>
              <w:t>二</w:t>
            </w:r>
            <w:r>
              <w:rPr>
                <w:spacing w:val="17"/>
              </w:rPr>
              <w:t xml:space="preserve">  </w:t>
            </w:r>
            <w:r>
              <w:rPr>
                <w:spacing w:val="-12"/>
              </w:rPr>
              <w:t>级</w:t>
            </w:r>
            <w:r>
              <w:rPr>
                <w:spacing w:val="1"/>
              </w:rPr>
              <w:t xml:space="preserve">  </w:t>
            </w:r>
            <w:r>
              <w:rPr>
                <w:spacing w:val="-12"/>
              </w:rPr>
              <w:t>评</w:t>
            </w:r>
            <w:r>
              <w:rPr>
                <w:spacing w:val="1"/>
              </w:rPr>
              <w:t xml:space="preserve">  </w:t>
            </w:r>
            <w:r>
              <w:rPr>
                <w:spacing w:val="-12"/>
              </w:rPr>
              <w:t>审</w:t>
            </w:r>
            <w:r>
              <w:rPr>
                <w:spacing w:val="1"/>
              </w:rPr>
              <w:t xml:space="preserve">  </w:t>
            </w:r>
            <w:r>
              <w:rPr>
                <w:spacing w:val="-12"/>
              </w:rPr>
              <w:t>项</w:t>
            </w:r>
          </w:p>
        </w:tc>
        <w:tc>
          <w:tcPr>
            <w:tcW w:w="4043" w:type="dxa"/>
            <w:shd w:val="clear" w:color="auto" w:fill="E2E2E2"/>
            <w:vAlign w:val="center"/>
          </w:tcPr>
          <w:p w14:paraId="3889921E">
            <w:pPr>
              <w:pStyle w:val="7"/>
              <w:spacing w:before="62" w:line="223" w:lineRule="auto"/>
              <w:jc w:val="center"/>
              <w:rPr>
                <w:rFonts w:hint="eastAsia" w:ascii="宋体" w:hAnsi="宋体" w:eastAsia="宋体" w:cs="宋体"/>
                <w:sz w:val="21"/>
                <w:szCs w:val="21"/>
              </w:rPr>
            </w:pPr>
            <w:r>
              <w:rPr>
                <w:spacing w:val="-1"/>
              </w:rPr>
              <w:t>详细要求</w:t>
            </w:r>
          </w:p>
        </w:tc>
        <w:tc>
          <w:tcPr>
            <w:tcW w:w="1960" w:type="dxa"/>
            <w:shd w:val="clear" w:color="auto" w:fill="E2E2E2"/>
            <w:textDirection w:val="tbRlV"/>
            <w:vAlign w:val="center"/>
          </w:tcPr>
          <w:p w14:paraId="4A1C677D">
            <w:pPr>
              <w:pStyle w:val="7"/>
              <w:spacing w:before="93" w:line="214" w:lineRule="auto"/>
              <w:ind w:left="665" w:leftChars="0"/>
              <w:jc w:val="both"/>
              <w:rPr>
                <w:rFonts w:hint="eastAsia" w:ascii="宋体" w:hAnsi="宋体" w:eastAsia="宋体" w:cs="宋体"/>
                <w:sz w:val="21"/>
                <w:szCs w:val="21"/>
              </w:rPr>
            </w:pPr>
            <w:r>
              <w:rPr>
                <w:spacing w:val="1"/>
              </w:rPr>
              <w:t>分  值</w:t>
            </w:r>
          </w:p>
        </w:tc>
        <w:tc>
          <w:tcPr>
            <w:tcW w:w="809" w:type="dxa"/>
            <w:shd w:val="clear" w:color="auto" w:fill="E2E2E2"/>
            <w:vAlign w:val="center"/>
          </w:tcPr>
          <w:p w14:paraId="3D89623C">
            <w:pPr>
              <w:spacing w:line="300" w:lineRule="auto"/>
              <w:jc w:val="both"/>
              <w:rPr>
                <w:rFonts w:ascii="Arial"/>
                <w:sz w:val="21"/>
              </w:rPr>
            </w:pPr>
          </w:p>
          <w:p w14:paraId="331EB48D">
            <w:pPr>
              <w:spacing w:line="300" w:lineRule="auto"/>
              <w:jc w:val="both"/>
              <w:rPr>
                <w:rFonts w:ascii="Arial"/>
                <w:sz w:val="21"/>
              </w:rPr>
            </w:pPr>
          </w:p>
          <w:p w14:paraId="7A87D84F">
            <w:pPr>
              <w:pStyle w:val="7"/>
              <w:spacing w:before="62" w:line="375" w:lineRule="auto"/>
              <w:ind w:left="112" w:leftChars="0" w:right="128" w:rightChars="0" w:hanging="8" w:firstLineChars="0"/>
              <w:jc w:val="both"/>
              <w:rPr>
                <w:rFonts w:hint="eastAsia" w:ascii="宋体" w:hAnsi="宋体" w:eastAsia="宋体" w:cs="宋体"/>
                <w:sz w:val="21"/>
                <w:szCs w:val="21"/>
              </w:rPr>
            </w:pPr>
            <w:r>
              <w:rPr>
                <w:spacing w:val="-2"/>
              </w:rPr>
              <w:t>客观评</w:t>
            </w:r>
            <w:r>
              <w:t xml:space="preserve"> </w:t>
            </w:r>
            <w:r>
              <w:rPr>
                <w:spacing w:val="-8"/>
              </w:rPr>
              <w:t>审项</w:t>
            </w:r>
          </w:p>
        </w:tc>
      </w:tr>
      <w:tr w14:paraId="6EA058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920" w:type="dxa"/>
            <w:vAlign w:val="center"/>
          </w:tcPr>
          <w:p w14:paraId="537ED198">
            <w:pPr>
              <w:pStyle w:val="7"/>
              <w:keepNext w:val="0"/>
              <w:keepLines w:val="0"/>
              <w:pageBreakBefore w:val="0"/>
              <w:widowControl/>
              <w:wordWrap/>
              <w:overflowPunct/>
              <w:topLinePunct w:val="0"/>
              <w:bidi w:val="0"/>
              <w:spacing w:line="360" w:lineRule="auto"/>
              <w:ind w:left="0" w:right="0" w:firstLine="484" w:firstLineChars="200"/>
              <w:jc w:val="center"/>
              <w:rPr>
                <w:rFonts w:hint="eastAsia" w:ascii="宋体" w:hAnsi="宋体" w:eastAsia="宋体" w:cs="宋体"/>
                <w:spacing w:val="1"/>
                <w:sz w:val="24"/>
                <w:szCs w:val="24"/>
              </w:rPr>
            </w:pPr>
            <w:r>
              <w:rPr>
                <w:rFonts w:hint="eastAsia" w:ascii="宋体" w:hAnsi="宋体" w:eastAsia="宋体" w:cs="宋体"/>
                <w:spacing w:val="1"/>
                <w:sz w:val="24"/>
                <w:szCs w:val="24"/>
              </w:rPr>
              <w:t>1</w:t>
            </w:r>
          </w:p>
        </w:tc>
        <w:tc>
          <w:tcPr>
            <w:tcW w:w="740" w:type="dxa"/>
            <w:textDirection w:val="tbRlV"/>
            <w:vAlign w:val="center"/>
          </w:tcPr>
          <w:p w14:paraId="12ED33B5">
            <w:pPr>
              <w:pStyle w:val="7"/>
              <w:keepNext w:val="0"/>
              <w:keepLines w:val="0"/>
              <w:pageBreakBefore w:val="0"/>
              <w:widowControl/>
              <w:wordWrap/>
              <w:overflowPunct/>
              <w:topLinePunct w:val="0"/>
              <w:bidi w:val="0"/>
              <w:spacing w:line="360" w:lineRule="auto"/>
              <w:ind w:left="0" w:leftChars="0" w:right="0" w:firstLine="484" w:firstLineChars="200"/>
              <w:jc w:val="center"/>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详细评审</w:t>
            </w:r>
          </w:p>
        </w:tc>
        <w:tc>
          <w:tcPr>
            <w:tcW w:w="2080" w:type="dxa"/>
            <w:vAlign w:val="center"/>
          </w:tcPr>
          <w:p w14:paraId="213B577B">
            <w:pPr>
              <w:pStyle w:val="8"/>
              <w:keepNext w:val="0"/>
              <w:keepLines w:val="0"/>
              <w:pageBreakBefore w:val="0"/>
              <w:widowControl/>
              <w:wordWrap/>
              <w:overflowPunct/>
              <w:topLinePunct w:val="0"/>
              <w:bidi w:val="0"/>
              <w:spacing w:line="360" w:lineRule="auto"/>
              <w:ind w:right="0"/>
              <w:jc w:val="center"/>
              <w:rPr>
                <w:rFonts w:hint="eastAsia" w:ascii="宋体" w:hAnsi="宋体" w:eastAsia="宋体" w:cs="宋体"/>
                <w:spacing w:val="1"/>
                <w:sz w:val="24"/>
                <w:szCs w:val="24"/>
              </w:rPr>
            </w:pPr>
            <w:r>
              <w:rPr>
                <w:rFonts w:hint="eastAsia" w:ascii="宋体" w:hAnsi="宋体" w:eastAsia="宋体" w:cs="宋体"/>
                <w:sz w:val="24"/>
                <w:szCs w:val="24"/>
              </w:rPr>
              <w:t>非标“▲”的参数响应</w:t>
            </w:r>
          </w:p>
        </w:tc>
        <w:tc>
          <w:tcPr>
            <w:tcW w:w="4043" w:type="dxa"/>
            <w:vAlign w:val="center"/>
          </w:tcPr>
          <w:p w14:paraId="42F4B763">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pacing w:val="1"/>
                <w:sz w:val="24"/>
                <w:szCs w:val="24"/>
              </w:rPr>
            </w:pPr>
            <w:r>
              <w:rPr>
                <w:rFonts w:hint="eastAsia" w:ascii="宋体" w:hAnsi="宋体" w:eastAsia="宋体" w:cs="宋体"/>
                <w:sz w:val="24"/>
                <w:szCs w:val="24"/>
              </w:rPr>
              <w:t>非标“▲”的参数，根据提供所投产品的相关证明材料(包括但不限于产品彩页、检测报告、官网截图、说明书等齐全） ，上述评审内容全部满足评审标准得5分，每有一项负偏离扣0.5分，扣完为止。</w:t>
            </w:r>
          </w:p>
        </w:tc>
        <w:tc>
          <w:tcPr>
            <w:tcW w:w="1960" w:type="dxa"/>
            <w:vAlign w:val="center"/>
          </w:tcPr>
          <w:p w14:paraId="71BEAC0B">
            <w:pPr>
              <w:pStyle w:val="8"/>
              <w:keepNext w:val="0"/>
              <w:keepLines w:val="0"/>
              <w:pageBreakBefore w:val="0"/>
              <w:widowControl/>
              <w:wordWrap/>
              <w:overflowPunct/>
              <w:topLinePunct w:val="0"/>
              <w:bidi w:val="0"/>
              <w:spacing w:line="360" w:lineRule="auto"/>
              <w:ind w:right="0"/>
              <w:jc w:val="center"/>
              <w:rPr>
                <w:rFonts w:hint="eastAsia" w:ascii="宋体" w:hAnsi="宋体" w:eastAsia="宋体" w:cs="宋体"/>
                <w:spacing w:val="1"/>
                <w:sz w:val="24"/>
                <w:szCs w:val="24"/>
              </w:rPr>
            </w:pPr>
            <w:r>
              <w:rPr>
                <w:rFonts w:hint="eastAsia" w:ascii="宋体" w:hAnsi="宋体" w:eastAsia="宋体" w:cs="宋体"/>
                <w:sz w:val="24"/>
                <w:szCs w:val="24"/>
              </w:rPr>
              <w:t>5.0000</w:t>
            </w:r>
          </w:p>
        </w:tc>
        <w:tc>
          <w:tcPr>
            <w:tcW w:w="809" w:type="dxa"/>
            <w:vAlign w:val="center"/>
          </w:tcPr>
          <w:p w14:paraId="375D0A79">
            <w:pPr>
              <w:pStyle w:val="7"/>
              <w:keepNext w:val="0"/>
              <w:keepLines w:val="0"/>
              <w:pageBreakBefore w:val="0"/>
              <w:widowControl/>
              <w:wordWrap/>
              <w:overflowPunct/>
              <w:topLinePunct w:val="0"/>
              <w:bidi w:val="0"/>
              <w:spacing w:line="360" w:lineRule="auto"/>
              <w:ind w:left="0" w:right="0" w:firstLine="484" w:firstLineChars="200"/>
              <w:jc w:val="both"/>
              <w:rPr>
                <w:rFonts w:hint="eastAsia" w:ascii="宋体" w:hAnsi="宋体" w:eastAsia="宋体" w:cs="宋体"/>
                <w:spacing w:val="1"/>
                <w:sz w:val="24"/>
                <w:szCs w:val="24"/>
              </w:rPr>
            </w:pPr>
          </w:p>
          <w:p w14:paraId="45DA599F">
            <w:pPr>
              <w:pStyle w:val="7"/>
              <w:keepNext w:val="0"/>
              <w:keepLines w:val="0"/>
              <w:pageBreakBefore w:val="0"/>
              <w:widowControl/>
              <w:wordWrap/>
              <w:overflowPunct/>
              <w:topLinePunct w:val="0"/>
              <w:bidi w:val="0"/>
              <w:spacing w:line="360" w:lineRule="auto"/>
              <w:ind w:left="0" w:right="0" w:firstLine="484" w:firstLineChars="200"/>
              <w:jc w:val="both"/>
              <w:rPr>
                <w:rFonts w:hint="eastAsia" w:ascii="宋体" w:hAnsi="宋体" w:eastAsia="宋体" w:cs="宋体"/>
                <w:spacing w:val="1"/>
                <w:sz w:val="24"/>
                <w:szCs w:val="24"/>
              </w:rPr>
            </w:pPr>
            <w:r>
              <w:rPr>
                <w:rFonts w:hint="eastAsia" w:ascii="宋体" w:hAnsi="宋体" w:eastAsia="宋体" w:cs="宋体"/>
                <w:spacing w:val="1"/>
                <w:sz w:val="24"/>
                <w:szCs w:val="24"/>
              </w:rPr>
              <w:t>是</w:t>
            </w:r>
          </w:p>
        </w:tc>
      </w:tr>
      <w:tr w14:paraId="4DA3ED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9" w:hRule="atLeast"/>
        </w:trPr>
        <w:tc>
          <w:tcPr>
            <w:tcW w:w="920" w:type="dxa"/>
            <w:vAlign w:val="center"/>
          </w:tcPr>
          <w:p w14:paraId="4176C969">
            <w:pPr>
              <w:pStyle w:val="7"/>
              <w:keepNext w:val="0"/>
              <w:keepLines w:val="0"/>
              <w:pageBreakBefore w:val="0"/>
              <w:widowControl/>
              <w:wordWrap/>
              <w:overflowPunct/>
              <w:topLinePunct w:val="0"/>
              <w:bidi w:val="0"/>
              <w:spacing w:line="360" w:lineRule="auto"/>
              <w:ind w:left="0" w:right="0" w:firstLine="484" w:firstLineChars="200"/>
              <w:jc w:val="center"/>
              <w:rPr>
                <w:rFonts w:hint="eastAsia" w:ascii="宋体" w:hAnsi="宋体" w:eastAsia="宋体" w:cs="宋体"/>
                <w:spacing w:val="1"/>
                <w:sz w:val="24"/>
                <w:szCs w:val="24"/>
              </w:rPr>
            </w:pPr>
          </w:p>
          <w:p w14:paraId="1E0DD0A5">
            <w:pPr>
              <w:pStyle w:val="7"/>
              <w:keepNext w:val="0"/>
              <w:keepLines w:val="0"/>
              <w:pageBreakBefore w:val="0"/>
              <w:widowControl/>
              <w:wordWrap/>
              <w:overflowPunct/>
              <w:topLinePunct w:val="0"/>
              <w:bidi w:val="0"/>
              <w:spacing w:line="360" w:lineRule="auto"/>
              <w:ind w:left="0" w:right="0" w:firstLine="484" w:firstLineChars="200"/>
              <w:jc w:val="center"/>
              <w:rPr>
                <w:rFonts w:hint="eastAsia" w:ascii="宋体" w:hAnsi="宋体" w:eastAsia="宋体" w:cs="宋体"/>
                <w:spacing w:val="1"/>
                <w:sz w:val="24"/>
                <w:szCs w:val="24"/>
              </w:rPr>
            </w:pPr>
            <w:r>
              <w:rPr>
                <w:rFonts w:hint="eastAsia" w:ascii="宋体" w:hAnsi="宋体" w:eastAsia="宋体" w:cs="宋体"/>
                <w:spacing w:val="1"/>
                <w:sz w:val="24"/>
                <w:szCs w:val="24"/>
              </w:rPr>
              <w:t>2</w:t>
            </w:r>
          </w:p>
        </w:tc>
        <w:tc>
          <w:tcPr>
            <w:tcW w:w="740" w:type="dxa"/>
            <w:textDirection w:val="tbRlV"/>
            <w:vAlign w:val="center"/>
          </w:tcPr>
          <w:p w14:paraId="2AE3EED8">
            <w:pPr>
              <w:pStyle w:val="7"/>
              <w:keepNext w:val="0"/>
              <w:keepLines w:val="0"/>
              <w:pageBreakBefore w:val="0"/>
              <w:widowControl/>
              <w:wordWrap/>
              <w:overflowPunct/>
              <w:topLinePunct w:val="0"/>
              <w:bidi w:val="0"/>
              <w:spacing w:line="360" w:lineRule="auto"/>
              <w:ind w:left="0" w:leftChars="0" w:right="0" w:firstLine="484" w:firstLineChars="200"/>
              <w:jc w:val="center"/>
              <w:rPr>
                <w:rFonts w:hint="eastAsia" w:ascii="宋体" w:hAnsi="宋体" w:eastAsia="宋体" w:cs="宋体"/>
                <w:spacing w:val="1"/>
                <w:sz w:val="24"/>
                <w:szCs w:val="24"/>
              </w:rPr>
            </w:pPr>
            <w:r>
              <w:rPr>
                <w:rFonts w:hint="eastAsia" w:ascii="宋体" w:hAnsi="宋体" w:eastAsia="宋体" w:cs="宋体"/>
                <w:spacing w:val="1"/>
                <w:sz w:val="24"/>
                <w:szCs w:val="24"/>
                <w:lang w:val="en-US" w:eastAsia="zh-CN"/>
              </w:rPr>
              <w:t>详细评审</w:t>
            </w:r>
          </w:p>
        </w:tc>
        <w:tc>
          <w:tcPr>
            <w:tcW w:w="2080" w:type="dxa"/>
            <w:vAlign w:val="center"/>
          </w:tcPr>
          <w:p w14:paraId="2B432E70">
            <w:pPr>
              <w:pStyle w:val="8"/>
              <w:keepNext w:val="0"/>
              <w:keepLines w:val="0"/>
              <w:pageBreakBefore w:val="0"/>
              <w:widowControl/>
              <w:wordWrap/>
              <w:overflowPunct/>
              <w:topLinePunct w:val="0"/>
              <w:bidi w:val="0"/>
              <w:spacing w:line="360" w:lineRule="auto"/>
              <w:ind w:right="0"/>
              <w:jc w:val="center"/>
              <w:rPr>
                <w:rFonts w:hint="eastAsia" w:ascii="宋体" w:hAnsi="宋体" w:eastAsia="宋体" w:cs="宋体"/>
                <w:spacing w:val="1"/>
                <w:sz w:val="24"/>
                <w:szCs w:val="24"/>
              </w:rPr>
            </w:pPr>
            <w:r>
              <w:rPr>
                <w:rFonts w:hint="eastAsia" w:ascii="宋体" w:hAnsi="宋体" w:eastAsia="宋体" w:cs="宋体"/>
                <w:sz w:val="24"/>
                <w:szCs w:val="24"/>
              </w:rPr>
              <w:t>标“▲”的参数响应</w:t>
            </w:r>
          </w:p>
        </w:tc>
        <w:tc>
          <w:tcPr>
            <w:tcW w:w="4043" w:type="dxa"/>
            <w:vAlign w:val="center"/>
          </w:tcPr>
          <w:p w14:paraId="7E663F27">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pacing w:val="1"/>
                <w:sz w:val="24"/>
                <w:szCs w:val="24"/>
              </w:rPr>
            </w:pPr>
            <w:r>
              <w:rPr>
                <w:rFonts w:hint="eastAsia" w:ascii="宋体" w:hAnsi="宋体" w:eastAsia="宋体" w:cs="宋体"/>
                <w:sz w:val="24"/>
                <w:szCs w:val="24"/>
              </w:rPr>
              <w:t>标“▲”的参数，技术要求完全符合、满足磋商文件技术要求的，供应商提供相应的产品检测报告或技术说明或产品彩页或官网功能截图等作为佐证依据，未提供或所提供材料模糊不清或所提供材料无法有效证明的视为不满足本参数要求。上述评审内容全部满足评审标准得16分，“▲”号技术参数为重要参数，每有一项负偏离扣2分，扣完为止。</w:t>
            </w:r>
          </w:p>
        </w:tc>
        <w:tc>
          <w:tcPr>
            <w:tcW w:w="1960" w:type="dxa"/>
            <w:vAlign w:val="center"/>
          </w:tcPr>
          <w:p w14:paraId="74B9A115">
            <w:pPr>
              <w:pStyle w:val="8"/>
              <w:keepNext w:val="0"/>
              <w:keepLines w:val="0"/>
              <w:pageBreakBefore w:val="0"/>
              <w:widowControl/>
              <w:wordWrap/>
              <w:overflowPunct/>
              <w:topLinePunct w:val="0"/>
              <w:bidi w:val="0"/>
              <w:spacing w:line="360" w:lineRule="auto"/>
              <w:ind w:right="0"/>
              <w:jc w:val="center"/>
              <w:rPr>
                <w:rFonts w:hint="eastAsia" w:ascii="宋体" w:hAnsi="宋体" w:eastAsia="宋体" w:cs="宋体"/>
                <w:spacing w:val="1"/>
                <w:sz w:val="24"/>
                <w:szCs w:val="24"/>
              </w:rPr>
            </w:pPr>
            <w:r>
              <w:rPr>
                <w:rFonts w:hint="eastAsia" w:ascii="宋体" w:hAnsi="宋体" w:eastAsia="宋体" w:cs="宋体"/>
                <w:sz w:val="24"/>
                <w:szCs w:val="24"/>
              </w:rPr>
              <w:t>16.0000</w:t>
            </w:r>
          </w:p>
        </w:tc>
        <w:tc>
          <w:tcPr>
            <w:tcW w:w="809" w:type="dxa"/>
            <w:vAlign w:val="center"/>
          </w:tcPr>
          <w:p w14:paraId="4B58C56F">
            <w:pPr>
              <w:pStyle w:val="7"/>
              <w:keepNext w:val="0"/>
              <w:keepLines w:val="0"/>
              <w:pageBreakBefore w:val="0"/>
              <w:widowControl/>
              <w:wordWrap/>
              <w:overflowPunct/>
              <w:topLinePunct w:val="0"/>
              <w:bidi w:val="0"/>
              <w:spacing w:line="360" w:lineRule="auto"/>
              <w:ind w:left="0" w:right="0" w:firstLine="484" w:firstLineChars="200"/>
              <w:jc w:val="both"/>
              <w:rPr>
                <w:rFonts w:hint="eastAsia" w:ascii="宋体" w:hAnsi="宋体" w:eastAsia="宋体" w:cs="宋体"/>
                <w:spacing w:val="1"/>
                <w:sz w:val="24"/>
                <w:szCs w:val="24"/>
              </w:rPr>
            </w:pPr>
            <w:r>
              <w:rPr>
                <w:rFonts w:hint="eastAsia" w:ascii="宋体" w:hAnsi="宋体" w:eastAsia="宋体" w:cs="宋体"/>
                <w:spacing w:val="1"/>
                <w:sz w:val="24"/>
                <w:szCs w:val="24"/>
              </w:rPr>
              <w:t>是</w:t>
            </w:r>
          </w:p>
        </w:tc>
      </w:tr>
      <w:tr w14:paraId="3D1FD6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3" w:hRule="atLeast"/>
        </w:trPr>
        <w:tc>
          <w:tcPr>
            <w:tcW w:w="920" w:type="dxa"/>
            <w:vAlign w:val="center"/>
          </w:tcPr>
          <w:p w14:paraId="3F83601B">
            <w:pPr>
              <w:pStyle w:val="7"/>
              <w:keepNext w:val="0"/>
              <w:keepLines w:val="0"/>
              <w:pageBreakBefore w:val="0"/>
              <w:widowControl/>
              <w:wordWrap/>
              <w:overflowPunct/>
              <w:topLinePunct w:val="0"/>
              <w:bidi w:val="0"/>
              <w:spacing w:line="360" w:lineRule="auto"/>
              <w:ind w:left="0" w:right="0" w:firstLine="484" w:firstLineChars="200"/>
              <w:jc w:val="center"/>
              <w:rPr>
                <w:rFonts w:hint="eastAsia" w:ascii="宋体" w:hAnsi="宋体" w:eastAsia="宋体" w:cs="宋体"/>
                <w:spacing w:val="1"/>
                <w:sz w:val="24"/>
                <w:szCs w:val="24"/>
              </w:rPr>
            </w:pPr>
          </w:p>
          <w:p w14:paraId="1D50F414">
            <w:pPr>
              <w:pStyle w:val="7"/>
              <w:keepNext w:val="0"/>
              <w:keepLines w:val="0"/>
              <w:pageBreakBefore w:val="0"/>
              <w:widowControl/>
              <w:wordWrap/>
              <w:overflowPunct/>
              <w:topLinePunct w:val="0"/>
              <w:bidi w:val="0"/>
              <w:spacing w:line="360" w:lineRule="auto"/>
              <w:ind w:left="0" w:right="0" w:firstLine="484" w:firstLineChars="200"/>
              <w:jc w:val="center"/>
              <w:rPr>
                <w:rFonts w:hint="eastAsia" w:ascii="宋体" w:hAnsi="宋体" w:eastAsia="宋体" w:cs="宋体"/>
                <w:spacing w:val="1"/>
                <w:sz w:val="24"/>
                <w:szCs w:val="24"/>
              </w:rPr>
            </w:pPr>
            <w:r>
              <w:rPr>
                <w:rFonts w:hint="eastAsia" w:ascii="宋体" w:hAnsi="宋体" w:eastAsia="宋体" w:cs="宋体"/>
                <w:spacing w:val="1"/>
                <w:sz w:val="24"/>
                <w:szCs w:val="24"/>
              </w:rPr>
              <w:t>3</w:t>
            </w:r>
          </w:p>
        </w:tc>
        <w:tc>
          <w:tcPr>
            <w:tcW w:w="740" w:type="dxa"/>
            <w:textDirection w:val="tbRlV"/>
            <w:vAlign w:val="center"/>
          </w:tcPr>
          <w:p w14:paraId="61300FA4">
            <w:pPr>
              <w:pStyle w:val="7"/>
              <w:keepNext w:val="0"/>
              <w:keepLines w:val="0"/>
              <w:pageBreakBefore w:val="0"/>
              <w:widowControl/>
              <w:wordWrap/>
              <w:overflowPunct/>
              <w:topLinePunct w:val="0"/>
              <w:bidi w:val="0"/>
              <w:spacing w:line="360" w:lineRule="auto"/>
              <w:ind w:left="0" w:leftChars="0" w:right="0" w:firstLine="484" w:firstLineChars="200"/>
              <w:jc w:val="center"/>
              <w:rPr>
                <w:rFonts w:hint="eastAsia" w:ascii="宋体" w:hAnsi="宋体" w:eastAsia="宋体" w:cs="宋体"/>
                <w:spacing w:val="1"/>
                <w:sz w:val="24"/>
                <w:szCs w:val="24"/>
              </w:rPr>
            </w:pPr>
            <w:r>
              <w:rPr>
                <w:rFonts w:hint="eastAsia" w:ascii="宋体" w:hAnsi="宋体" w:eastAsia="宋体" w:cs="宋体"/>
                <w:spacing w:val="1"/>
                <w:sz w:val="24"/>
                <w:szCs w:val="24"/>
              </w:rPr>
              <w:t>详  细  评  审</w:t>
            </w:r>
          </w:p>
        </w:tc>
        <w:tc>
          <w:tcPr>
            <w:tcW w:w="2080" w:type="dxa"/>
            <w:vAlign w:val="center"/>
          </w:tcPr>
          <w:p w14:paraId="2AA6A4AF">
            <w:pPr>
              <w:pStyle w:val="8"/>
              <w:keepNext w:val="0"/>
              <w:keepLines w:val="0"/>
              <w:pageBreakBefore w:val="0"/>
              <w:widowControl/>
              <w:wordWrap/>
              <w:overflowPunct/>
              <w:topLinePunct w:val="0"/>
              <w:bidi w:val="0"/>
              <w:spacing w:line="360" w:lineRule="auto"/>
              <w:ind w:right="0"/>
              <w:jc w:val="center"/>
              <w:rPr>
                <w:rFonts w:hint="eastAsia" w:ascii="宋体" w:hAnsi="宋体" w:eastAsia="宋体" w:cs="宋体"/>
                <w:spacing w:val="1"/>
                <w:sz w:val="24"/>
                <w:szCs w:val="24"/>
              </w:rPr>
            </w:pPr>
            <w:r>
              <w:rPr>
                <w:rFonts w:hint="eastAsia" w:ascii="宋体" w:hAnsi="宋体" w:eastAsia="宋体" w:cs="宋体"/>
                <w:sz w:val="24"/>
                <w:szCs w:val="24"/>
              </w:rPr>
              <w:t>供货渠道及质量保障</w:t>
            </w:r>
          </w:p>
        </w:tc>
        <w:tc>
          <w:tcPr>
            <w:tcW w:w="4043" w:type="dxa"/>
            <w:vAlign w:val="center"/>
          </w:tcPr>
          <w:p w14:paraId="369CE42F">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pacing w:val="1"/>
                <w:sz w:val="24"/>
                <w:szCs w:val="24"/>
              </w:rPr>
            </w:pPr>
            <w:r>
              <w:rPr>
                <w:rFonts w:hint="eastAsia" w:ascii="宋体" w:hAnsi="宋体" w:eastAsia="宋体" w:cs="宋体"/>
                <w:sz w:val="24"/>
                <w:szCs w:val="24"/>
              </w:rPr>
              <w:t>一、评审内容： 所提供的产品的①证明材料完整详尽②供应渠道正常：来源渠道正规检验手续合法有效、无产权纠纷、无假货、水货③产品质量保障：质量保证措施完善提供产品相关认证证书或代理协议或厂家授权 二、评审标准： 1.完整性：方案全面，对评审内容中的各项要求有详细阐述； 2.可实施性：切合本项目实际情况，提出步骤清晰、合理的方案； 3.针对性：方案能够紧扣项目实际情况，内容科学合理。 上述三项评审内容全部满足评审标准得9分，每有一个评审内容缺项扣3分，每一项评审内容中每出现一处缺陷扣1分，扣完为止。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w="1960" w:type="dxa"/>
            <w:vAlign w:val="center"/>
          </w:tcPr>
          <w:p w14:paraId="7A20B3F1">
            <w:pPr>
              <w:pStyle w:val="8"/>
              <w:keepNext w:val="0"/>
              <w:keepLines w:val="0"/>
              <w:pageBreakBefore w:val="0"/>
              <w:widowControl/>
              <w:wordWrap/>
              <w:overflowPunct/>
              <w:topLinePunct w:val="0"/>
              <w:bidi w:val="0"/>
              <w:spacing w:line="360" w:lineRule="auto"/>
              <w:ind w:right="0"/>
              <w:jc w:val="center"/>
              <w:rPr>
                <w:rFonts w:hint="eastAsia" w:ascii="宋体" w:hAnsi="宋体" w:eastAsia="宋体" w:cs="宋体"/>
                <w:spacing w:val="1"/>
                <w:sz w:val="24"/>
                <w:szCs w:val="24"/>
              </w:rPr>
            </w:pPr>
            <w:r>
              <w:rPr>
                <w:rFonts w:hint="eastAsia" w:ascii="宋体" w:hAnsi="宋体" w:eastAsia="宋体" w:cs="宋体"/>
                <w:sz w:val="24"/>
                <w:szCs w:val="24"/>
              </w:rPr>
              <w:t>9.0000</w:t>
            </w:r>
          </w:p>
        </w:tc>
        <w:tc>
          <w:tcPr>
            <w:tcW w:w="809" w:type="dxa"/>
            <w:vAlign w:val="center"/>
          </w:tcPr>
          <w:p w14:paraId="75A80529">
            <w:pPr>
              <w:pStyle w:val="7"/>
              <w:keepNext w:val="0"/>
              <w:keepLines w:val="0"/>
              <w:pageBreakBefore w:val="0"/>
              <w:widowControl/>
              <w:wordWrap/>
              <w:overflowPunct/>
              <w:topLinePunct w:val="0"/>
              <w:bidi w:val="0"/>
              <w:spacing w:line="360" w:lineRule="auto"/>
              <w:ind w:left="0" w:right="0" w:firstLine="484" w:firstLineChars="200"/>
              <w:jc w:val="both"/>
              <w:rPr>
                <w:rFonts w:hint="eastAsia" w:ascii="宋体" w:hAnsi="宋体" w:eastAsia="宋体" w:cs="宋体"/>
                <w:spacing w:val="1"/>
                <w:sz w:val="24"/>
                <w:szCs w:val="24"/>
              </w:rPr>
            </w:pPr>
            <w:r>
              <w:rPr>
                <w:rFonts w:hint="eastAsia" w:ascii="宋体" w:hAnsi="宋体" w:eastAsia="宋体" w:cs="宋体"/>
                <w:spacing w:val="1"/>
                <w:sz w:val="24"/>
                <w:szCs w:val="24"/>
              </w:rPr>
              <w:t>否</w:t>
            </w:r>
          </w:p>
        </w:tc>
      </w:tr>
      <w:tr w14:paraId="73379E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1" w:hRule="atLeast"/>
        </w:trPr>
        <w:tc>
          <w:tcPr>
            <w:tcW w:w="920" w:type="dxa"/>
            <w:vAlign w:val="center"/>
          </w:tcPr>
          <w:p w14:paraId="18E0A055">
            <w:pPr>
              <w:pStyle w:val="7"/>
              <w:keepNext w:val="0"/>
              <w:keepLines w:val="0"/>
              <w:pageBreakBefore w:val="0"/>
              <w:widowControl/>
              <w:wordWrap/>
              <w:overflowPunct/>
              <w:topLinePunct w:val="0"/>
              <w:bidi w:val="0"/>
              <w:spacing w:line="360" w:lineRule="auto"/>
              <w:ind w:left="0" w:right="0" w:firstLine="484" w:firstLineChars="200"/>
              <w:jc w:val="center"/>
              <w:rPr>
                <w:rFonts w:hint="eastAsia" w:ascii="宋体" w:hAnsi="宋体" w:eastAsia="宋体" w:cs="宋体"/>
                <w:spacing w:val="1"/>
                <w:sz w:val="24"/>
                <w:szCs w:val="24"/>
              </w:rPr>
            </w:pPr>
          </w:p>
          <w:p w14:paraId="5A5511A5">
            <w:pPr>
              <w:pStyle w:val="7"/>
              <w:keepNext w:val="0"/>
              <w:keepLines w:val="0"/>
              <w:pageBreakBefore w:val="0"/>
              <w:widowControl/>
              <w:wordWrap/>
              <w:overflowPunct/>
              <w:topLinePunct w:val="0"/>
              <w:bidi w:val="0"/>
              <w:spacing w:line="360" w:lineRule="auto"/>
              <w:ind w:left="0" w:right="0" w:firstLine="484" w:firstLineChars="200"/>
              <w:jc w:val="center"/>
              <w:rPr>
                <w:rFonts w:hint="eastAsia" w:ascii="宋体" w:hAnsi="宋体" w:eastAsia="宋体" w:cs="宋体"/>
                <w:spacing w:val="1"/>
                <w:sz w:val="24"/>
                <w:szCs w:val="24"/>
              </w:rPr>
            </w:pPr>
            <w:r>
              <w:rPr>
                <w:rFonts w:hint="eastAsia" w:ascii="宋体" w:hAnsi="宋体" w:eastAsia="宋体" w:cs="宋体"/>
                <w:spacing w:val="1"/>
                <w:sz w:val="24"/>
                <w:szCs w:val="24"/>
              </w:rPr>
              <w:t>4</w:t>
            </w:r>
          </w:p>
        </w:tc>
        <w:tc>
          <w:tcPr>
            <w:tcW w:w="740" w:type="dxa"/>
            <w:textDirection w:val="tbRlV"/>
            <w:vAlign w:val="center"/>
          </w:tcPr>
          <w:p w14:paraId="0C393C51">
            <w:pPr>
              <w:pStyle w:val="7"/>
              <w:keepNext w:val="0"/>
              <w:keepLines w:val="0"/>
              <w:pageBreakBefore w:val="0"/>
              <w:widowControl/>
              <w:wordWrap/>
              <w:overflowPunct/>
              <w:topLinePunct w:val="0"/>
              <w:bidi w:val="0"/>
              <w:spacing w:line="360" w:lineRule="auto"/>
              <w:ind w:left="0" w:right="0" w:firstLine="484" w:firstLineChars="200"/>
              <w:jc w:val="center"/>
              <w:rPr>
                <w:rFonts w:hint="eastAsia" w:ascii="宋体" w:hAnsi="宋体" w:eastAsia="宋体" w:cs="宋体"/>
                <w:spacing w:val="1"/>
                <w:sz w:val="24"/>
                <w:szCs w:val="24"/>
              </w:rPr>
            </w:pPr>
            <w:r>
              <w:rPr>
                <w:rFonts w:hint="eastAsia" w:ascii="宋体" w:hAnsi="宋体" w:eastAsia="宋体" w:cs="宋体"/>
                <w:spacing w:val="1"/>
                <w:sz w:val="24"/>
                <w:szCs w:val="24"/>
              </w:rPr>
              <w:t>详  细  评  审</w:t>
            </w:r>
          </w:p>
        </w:tc>
        <w:tc>
          <w:tcPr>
            <w:tcW w:w="2080" w:type="dxa"/>
            <w:vAlign w:val="center"/>
          </w:tcPr>
          <w:p w14:paraId="5D5822F2">
            <w:pPr>
              <w:pStyle w:val="8"/>
              <w:keepNext w:val="0"/>
              <w:keepLines w:val="0"/>
              <w:pageBreakBefore w:val="0"/>
              <w:widowControl/>
              <w:wordWrap/>
              <w:overflowPunct/>
              <w:topLinePunct w:val="0"/>
              <w:bidi w:val="0"/>
              <w:spacing w:line="360" w:lineRule="auto"/>
              <w:ind w:right="0"/>
              <w:jc w:val="center"/>
              <w:rPr>
                <w:rFonts w:hint="eastAsia" w:ascii="宋体" w:hAnsi="宋体" w:eastAsia="宋体" w:cs="宋体"/>
                <w:spacing w:val="1"/>
                <w:sz w:val="24"/>
                <w:szCs w:val="24"/>
              </w:rPr>
            </w:pPr>
            <w:r>
              <w:rPr>
                <w:rFonts w:hint="eastAsia" w:ascii="宋体" w:hAnsi="宋体" w:eastAsia="宋体" w:cs="宋体"/>
                <w:sz w:val="24"/>
                <w:szCs w:val="24"/>
              </w:rPr>
              <w:t>实施方案</w:t>
            </w:r>
          </w:p>
        </w:tc>
        <w:tc>
          <w:tcPr>
            <w:tcW w:w="4043" w:type="dxa"/>
            <w:vAlign w:val="center"/>
          </w:tcPr>
          <w:p w14:paraId="1BCBC239">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pacing w:val="1"/>
                <w:sz w:val="24"/>
                <w:szCs w:val="24"/>
              </w:rPr>
            </w:pPr>
            <w:r>
              <w:rPr>
                <w:rFonts w:hint="eastAsia" w:ascii="宋体" w:hAnsi="宋体" w:eastAsia="宋体" w:cs="宋体"/>
                <w:sz w:val="24"/>
                <w:szCs w:val="24"/>
              </w:rPr>
              <w:t>一、评审内容： 评审内容： 针对该项目提供实施方案：①供货组织安排，包括仓储、运输、交付、安装调试等内容；②进度计划和安全控制方案；③组织机构人员配置、协调能力④防护方案等。 二、评审标准： 1.完整性：方案全面，对评审内容中的各项要求有详细阐述； 2.可实施性：切合本项目实际情况，提出步骤清晰、合理的方案； 3.针对性：方案能够紧扣项目实际情况，内容科学合理。 上述</w:t>
            </w:r>
            <w:r>
              <w:rPr>
                <w:rFonts w:hint="eastAsia" w:ascii="宋体" w:hAnsi="宋体" w:eastAsia="宋体" w:cs="宋体"/>
                <w:sz w:val="24"/>
                <w:szCs w:val="24"/>
                <w:lang w:val="en-US" w:eastAsia="zh-CN"/>
              </w:rPr>
              <w:t>四</w:t>
            </w:r>
            <w:r>
              <w:rPr>
                <w:rFonts w:hint="eastAsia" w:ascii="宋体" w:hAnsi="宋体" w:eastAsia="宋体" w:cs="宋体"/>
                <w:sz w:val="24"/>
                <w:szCs w:val="24"/>
              </w:rPr>
              <w:t>项评审内容全部满足评审标准得20分，每有一个评审内容缺项扣5分，每一项评审内容中每出现一处缺陷扣1分，扣完为止。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w="1960" w:type="dxa"/>
            <w:vAlign w:val="center"/>
          </w:tcPr>
          <w:p w14:paraId="6FA12056">
            <w:pPr>
              <w:pStyle w:val="8"/>
              <w:keepNext w:val="0"/>
              <w:keepLines w:val="0"/>
              <w:pageBreakBefore w:val="0"/>
              <w:widowControl/>
              <w:wordWrap/>
              <w:overflowPunct/>
              <w:topLinePunct w:val="0"/>
              <w:bidi w:val="0"/>
              <w:spacing w:line="360" w:lineRule="auto"/>
              <w:ind w:right="0"/>
              <w:jc w:val="center"/>
              <w:rPr>
                <w:rFonts w:hint="eastAsia" w:ascii="宋体" w:hAnsi="宋体" w:eastAsia="宋体" w:cs="宋体"/>
                <w:spacing w:val="1"/>
                <w:sz w:val="24"/>
                <w:szCs w:val="24"/>
              </w:rPr>
            </w:pPr>
            <w:r>
              <w:rPr>
                <w:rFonts w:hint="eastAsia" w:ascii="宋体" w:hAnsi="宋体" w:eastAsia="宋体" w:cs="宋体"/>
                <w:sz w:val="24"/>
                <w:szCs w:val="24"/>
              </w:rPr>
              <w:t>20.0000</w:t>
            </w:r>
          </w:p>
        </w:tc>
        <w:tc>
          <w:tcPr>
            <w:tcW w:w="809" w:type="dxa"/>
            <w:vAlign w:val="center"/>
          </w:tcPr>
          <w:p w14:paraId="4FEA7E1E">
            <w:pPr>
              <w:pStyle w:val="7"/>
              <w:keepNext w:val="0"/>
              <w:keepLines w:val="0"/>
              <w:pageBreakBefore w:val="0"/>
              <w:widowControl/>
              <w:wordWrap/>
              <w:overflowPunct/>
              <w:topLinePunct w:val="0"/>
              <w:bidi w:val="0"/>
              <w:spacing w:line="360" w:lineRule="auto"/>
              <w:ind w:left="0" w:right="0" w:firstLine="484" w:firstLineChars="200"/>
              <w:jc w:val="both"/>
              <w:rPr>
                <w:rFonts w:hint="eastAsia" w:ascii="宋体" w:hAnsi="宋体" w:eastAsia="宋体" w:cs="宋体"/>
                <w:spacing w:val="1"/>
                <w:sz w:val="24"/>
                <w:szCs w:val="24"/>
              </w:rPr>
            </w:pPr>
            <w:r>
              <w:rPr>
                <w:rFonts w:hint="eastAsia" w:ascii="宋体" w:hAnsi="宋体" w:eastAsia="宋体" w:cs="宋体"/>
                <w:spacing w:val="1"/>
                <w:sz w:val="24"/>
                <w:szCs w:val="24"/>
              </w:rPr>
              <w:t>否</w:t>
            </w:r>
          </w:p>
        </w:tc>
      </w:tr>
      <w:tr w14:paraId="121D51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1" w:hRule="atLeast"/>
        </w:trPr>
        <w:tc>
          <w:tcPr>
            <w:tcW w:w="920" w:type="dxa"/>
            <w:vAlign w:val="center"/>
          </w:tcPr>
          <w:p w14:paraId="52DFEAFF">
            <w:pPr>
              <w:pStyle w:val="7"/>
              <w:keepNext w:val="0"/>
              <w:keepLines w:val="0"/>
              <w:pageBreakBefore w:val="0"/>
              <w:widowControl/>
              <w:wordWrap/>
              <w:overflowPunct/>
              <w:topLinePunct w:val="0"/>
              <w:bidi w:val="0"/>
              <w:spacing w:line="360" w:lineRule="auto"/>
              <w:ind w:left="0" w:right="0" w:firstLine="484" w:firstLineChars="200"/>
              <w:jc w:val="center"/>
              <w:rPr>
                <w:rFonts w:hint="eastAsia" w:ascii="宋体" w:hAnsi="宋体" w:eastAsia="宋体" w:cs="宋体"/>
                <w:spacing w:val="1"/>
                <w:sz w:val="24"/>
                <w:szCs w:val="24"/>
              </w:rPr>
            </w:pPr>
            <w:r>
              <w:rPr>
                <w:rFonts w:hint="eastAsia" w:ascii="宋体" w:hAnsi="宋体" w:eastAsia="宋体" w:cs="宋体"/>
                <w:spacing w:val="1"/>
                <w:sz w:val="24"/>
                <w:szCs w:val="24"/>
              </w:rPr>
              <w:t>5</w:t>
            </w:r>
          </w:p>
        </w:tc>
        <w:tc>
          <w:tcPr>
            <w:tcW w:w="740" w:type="dxa"/>
            <w:textDirection w:val="tbRlV"/>
            <w:vAlign w:val="center"/>
          </w:tcPr>
          <w:p w14:paraId="3F64F2D7">
            <w:pPr>
              <w:pStyle w:val="7"/>
              <w:keepNext w:val="0"/>
              <w:keepLines w:val="0"/>
              <w:pageBreakBefore w:val="0"/>
              <w:widowControl/>
              <w:wordWrap/>
              <w:overflowPunct/>
              <w:topLinePunct w:val="0"/>
              <w:bidi w:val="0"/>
              <w:spacing w:line="360" w:lineRule="auto"/>
              <w:ind w:left="0" w:leftChars="0" w:right="0" w:firstLine="484" w:firstLineChars="200"/>
              <w:jc w:val="center"/>
              <w:rPr>
                <w:rFonts w:hint="eastAsia" w:ascii="宋体" w:hAnsi="宋体" w:eastAsia="宋体" w:cs="宋体"/>
                <w:spacing w:val="1"/>
                <w:sz w:val="24"/>
                <w:szCs w:val="24"/>
              </w:rPr>
            </w:pPr>
            <w:r>
              <w:rPr>
                <w:rFonts w:hint="eastAsia" w:ascii="宋体" w:hAnsi="宋体" w:eastAsia="宋体" w:cs="宋体"/>
                <w:spacing w:val="1"/>
                <w:sz w:val="24"/>
                <w:szCs w:val="24"/>
              </w:rPr>
              <w:t>详  细  评  审</w:t>
            </w:r>
          </w:p>
        </w:tc>
        <w:tc>
          <w:tcPr>
            <w:tcW w:w="2080" w:type="dxa"/>
            <w:vAlign w:val="center"/>
          </w:tcPr>
          <w:p w14:paraId="368683DC">
            <w:pPr>
              <w:pStyle w:val="8"/>
              <w:keepNext w:val="0"/>
              <w:keepLines w:val="0"/>
              <w:pageBreakBefore w:val="0"/>
              <w:widowControl/>
              <w:wordWrap/>
              <w:overflowPunct/>
              <w:topLinePunct w:val="0"/>
              <w:bidi w:val="0"/>
              <w:spacing w:line="360" w:lineRule="auto"/>
              <w:ind w:right="0"/>
              <w:jc w:val="center"/>
              <w:rPr>
                <w:rFonts w:hint="eastAsia" w:ascii="宋体" w:hAnsi="宋体" w:eastAsia="宋体" w:cs="宋体"/>
                <w:spacing w:val="1"/>
                <w:sz w:val="24"/>
                <w:szCs w:val="24"/>
              </w:rPr>
            </w:pPr>
            <w:r>
              <w:rPr>
                <w:rFonts w:hint="eastAsia" w:ascii="宋体" w:hAnsi="宋体" w:eastAsia="宋体" w:cs="宋体"/>
                <w:sz w:val="24"/>
                <w:szCs w:val="24"/>
              </w:rPr>
              <w:t>业绩</w:t>
            </w:r>
          </w:p>
        </w:tc>
        <w:tc>
          <w:tcPr>
            <w:tcW w:w="4043" w:type="dxa"/>
            <w:vAlign w:val="center"/>
          </w:tcPr>
          <w:p w14:paraId="1EE0DA23">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pacing w:val="1"/>
                <w:sz w:val="24"/>
                <w:szCs w:val="24"/>
              </w:rPr>
            </w:pPr>
            <w:r>
              <w:rPr>
                <w:rFonts w:hint="eastAsia" w:ascii="宋体" w:hAnsi="宋体" w:eastAsia="宋体" w:cs="宋体"/>
                <w:sz w:val="24"/>
                <w:szCs w:val="24"/>
              </w:rPr>
              <w:t>提供2022年6月1日至今签订的</w:t>
            </w:r>
            <w:r>
              <w:rPr>
                <w:rFonts w:hint="eastAsia" w:ascii="宋体" w:hAnsi="宋体" w:eastAsia="宋体" w:cs="宋体"/>
                <w:sz w:val="24"/>
                <w:szCs w:val="24"/>
                <w:lang w:val="en-US" w:eastAsia="zh-CN"/>
              </w:rPr>
              <w:t>同类</w:t>
            </w:r>
            <w:r>
              <w:rPr>
                <w:rFonts w:hint="eastAsia" w:ascii="宋体" w:hAnsi="宋体" w:eastAsia="宋体" w:cs="宋体"/>
                <w:sz w:val="24"/>
                <w:szCs w:val="24"/>
              </w:rPr>
              <w:t>供货合同或中标（成交）通知书，提供1份计0.5分，满分1分。注：代理商的业绩或制造商的业绩均认可；所附资料模糊不清视为无效业绩。</w:t>
            </w:r>
          </w:p>
        </w:tc>
        <w:tc>
          <w:tcPr>
            <w:tcW w:w="1960" w:type="dxa"/>
            <w:vAlign w:val="center"/>
          </w:tcPr>
          <w:p w14:paraId="07EA4E87">
            <w:pPr>
              <w:pStyle w:val="8"/>
              <w:keepNext w:val="0"/>
              <w:keepLines w:val="0"/>
              <w:pageBreakBefore w:val="0"/>
              <w:widowControl/>
              <w:wordWrap/>
              <w:overflowPunct/>
              <w:topLinePunct w:val="0"/>
              <w:bidi w:val="0"/>
              <w:spacing w:line="360" w:lineRule="auto"/>
              <w:ind w:right="0"/>
              <w:jc w:val="center"/>
              <w:rPr>
                <w:rFonts w:hint="eastAsia" w:ascii="宋体" w:hAnsi="宋体" w:eastAsia="宋体" w:cs="宋体"/>
                <w:spacing w:val="1"/>
                <w:sz w:val="24"/>
                <w:szCs w:val="24"/>
              </w:rPr>
            </w:pPr>
            <w:r>
              <w:rPr>
                <w:rFonts w:hint="eastAsia" w:ascii="宋体" w:hAnsi="宋体" w:eastAsia="宋体" w:cs="宋体"/>
                <w:sz w:val="24"/>
                <w:szCs w:val="24"/>
              </w:rPr>
              <w:t>1.0000</w:t>
            </w:r>
          </w:p>
        </w:tc>
        <w:tc>
          <w:tcPr>
            <w:tcW w:w="809" w:type="dxa"/>
            <w:vAlign w:val="center"/>
          </w:tcPr>
          <w:p w14:paraId="6F9116DD">
            <w:pPr>
              <w:pStyle w:val="7"/>
              <w:keepNext w:val="0"/>
              <w:keepLines w:val="0"/>
              <w:pageBreakBefore w:val="0"/>
              <w:widowControl/>
              <w:wordWrap/>
              <w:overflowPunct/>
              <w:topLinePunct w:val="0"/>
              <w:bidi w:val="0"/>
              <w:spacing w:line="360" w:lineRule="auto"/>
              <w:ind w:left="0" w:right="0" w:firstLine="484" w:firstLineChars="200"/>
              <w:jc w:val="both"/>
              <w:rPr>
                <w:rFonts w:hint="eastAsia" w:ascii="宋体" w:hAnsi="宋体" w:eastAsia="宋体" w:cs="宋体"/>
                <w:spacing w:val="1"/>
                <w:sz w:val="24"/>
                <w:szCs w:val="24"/>
              </w:rPr>
            </w:pPr>
            <w:r>
              <w:rPr>
                <w:rFonts w:hint="eastAsia" w:ascii="宋体" w:hAnsi="宋体" w:eastAsia="宋体" w:cs="宋体"/>
                <w:spacing w:val="1"/>
                <w:sz w:val="24"/>
                <w:szCs w:val="24"/>
              </w:rPr>
              <w:t>是</w:t>
            </w:r>
          </w:p>
        </w:tc>
      </w:tr>
      <w:tr w14:paraId="0A4BB7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73" w:hRule="atLeast"/>
        </w:trPr>
        <w:tc>
          <w:tcPr>
            <w:tcW w:w="920" w:type="dxa"/>
            <w:vAlign w:val="center"/>
          </w:tcPr>
          <w:p w14:paraId="00AD54C8">
            <w:pPr>
              <w:pStyle w:val="7"/>
              <w:keepNext w:val="0"/>
              <w:keepLines w:val="0"/>
              <w:pageBreakBefore w:val="0"/>
              <w:widowControl/>
              <w:wordWrap/>
              <w:overflowPunct/>
              <w:topLinePunct w:val="0"/>
              <w:bidi w:val="0"/>
              <w:spacing w:line="360" w:lineRule="auto"/>
              <w:ind w:left="0" w:right="0" w:firstLine="484" w:firstLineChars="200"/>
              <w:jc w:val="center"/>
              <w:rPr>
                <w:rFonts w:hint="eastAsia" w:ascii="宋体" w:hAnsi="宋体" w:eastAsia="宋体" w:cs="宋体"/>
                <w:spacing w:val="1"/>
                <w:sz w:val="24"/>
                <w:szCs w:val="24"/>
              </w:rPr>
            </w:pPr>
            <w:r>
              <w:rPr>
                <w:rFonts w:hint="eastAsia" w:ascii="宋体" w:hAnsi="宋体" w:eastAsia="宋体" w:cs="宋体"/>
                <w:spacing w:val="1"/>
                <w:sz w:val="24"/>
                <w:szCs w:val="24"/>
              </w:rPr>
              <w:t>6</w:t>
            </w:r>
          </w:p>
        </w:tc>
        <w:tc>
          <w:tcPr>
            <w:tcW w:w="740" w:type="dxa"/>
            <w:textDirection w:val="tbRlV"/>
            <w:vAlign w:val="center"/>
          </w:tcPr>
          <w:p w14:paraId="00F85E39">
            <w:pPr>
              <w:pStyle w:val="7"/>
              <w:keepNext w:val="0"/>
              <w:keepLines w:val="0"/>
              <w:pageBreakBefore w:val="0"/>
              <w:widowControl/>
              <w:wordWrap/>
              <w:overflowPunct/>
              <w:topLinePunct w:val="0"/>
              <w:bidi w:val="0"/>
              <w:spacing w:line="360" w:lineRule="auto"/>
              <w:ind w:left="0" w:right="0" w:firstLine="484" w:firstLineChars="200"/>
              <w:jc w:val="center"/>
              <w:rPr>
                <w:rFonts w:hint="eastAsia" w:ascii="宋体" w:hAnsi="宋体" w:eastAsia="宋体" w:cs="宋体"/>
                <w:spacing w:val="1"/>
                <w:sz w:val="24"/>
                <w:szCs w:val="24"/>
              </w:rPr>
            </w:pPr>
            <w:r>
              <w:rPr>
                <w:rFonts w:hint="eastAsia" w:ascii="宋体" w:hAnsi="宋体" w:eastAsia="宋体" w:cs="宋体"/>
                <w:spacing w:val="1"/>
                <w:sz w:val="24"/>
                <w:szCs w:val="24"/>
              </w:rPr>
              <w:t>详  细  评  审</w:t>
            </w:r>
          </w:p>
        </w:tc>
        <w:tc>
          <w:tcPr>
            <w:tcW w:w="2080" w:type="dxa"/>
            <w:vAlign w:val="center"/>
          </w:tcPr>
          <w:p w14:paraId="04BA0C14">
            <w:pPr>
              <w:pStyle w:val="8"/>
              <w:keepNext w:val="0"/>
              <w:keepLines w:val="0"/>
              <w:pageBreakBefore w:val="0"/>
              <w:widowControl/>
              <w:wordWrap/>
              <w:overflowPunct/>
              <w:topLinePunct w:val="0"/>
              <w:bidi w:val="0"/>
              <w:spacing w:line="360" w:lineRule="auto"/>
              <w:ind w:right="0"/>
              <w:jc w:val="center"/>
              <w:rPr>
                <w:rFonts w:hint="eastAsia" w:ascii="宋体" w:hAnsi="宋体" w:eastAsia="宋体" w:cs="宋体"/>
                <w:spacing w:val="1"/>
                <w:sz w:val="24"/>
                <w:szCs w:val="24"/>
              </w:rPr>
            </w:pPr>
            <w:r>
              <w:rPr>
                <w:rFonts w:hint="eastAsia" w:ascii="宋体" w:hAnsi="宋体" w:eastAsia="宋体" w:cs="宋体"/>
                <w:sz w:val="24"/>
                <w:szCs w:val="24"/>
              </w:rPr>
              <w:t>售后服务</w:t>
            </w:r>
          </w:p>
        </w:tc>
        <w:tc>
          <w:tcPr>
            <w:tcW w:w="4043" w:type="dxa"/>
            <w:vAlign w:val="center"/>
          </w:tcPr>
          <w:p w14:paraId="4AB48232">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pacing w:val="1"/>
                <w:sz w:val="24"/>
                <w:szCs w:val="24"/>
              </w:rPr>
            </w:pPr>
            <w:r>
              <w:rPr>
                <w:rFonts w:hint="eastAsia" w:ascii="宋体" w:hAnsi="宋体" w:eastAsia="宋体" w:cs="宋体"/>
                <w:sz w:val="24"/>
                <w:szCs w:val="24"/>
              </w:rPr>
              <w:t>一、评审内容： 针对该项目提供：①售后服务保障体系；②售后服务内容；③售后服务措施；④满足本地化售后服务的能力（提供相关证明材料）；⑤售后服务承诺。 二、评审标准： 1.完整性：方案全面，对评审内容中的各项要求有详细阐述； 2.可实施性：切合本项目实际情况，提出步骤清晰、合理的方案； 3.针对性：方案能够紧扣项目实际情况，内容科学合理。 上述五项评审内容全部满足评审标准得10分，每有一个评审内容缺项扣2分，每一项评审内容中每出现一处缺陷扣1分，扣完为止。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w="1960" w:type="dxa"/>
            <w:vAlign w:val="center"/>
          </w:tcPr>
          <w:p w14:paraId="1A026DED">
            <w:pPr>
              <w:pStyle w:val="8"/>
              <w:keepNext w:val="0"/>
              <w:keepLines w:val="0"/>
              <w:pageBreakBefore w:val="0"/>
              <w:widowControl/>
              <w:wordWrap/>
              <w:overflowPunct/>
              <w:topLinePunct w:val="0"/>
              <w:bidi w:val="0"/>
              <w:spacing w:line="360" w:lineRule="auto"/>
              <w:ind w:right="0"/>
              <w:jc w:val="center"/>
              <w:rPr>
                <w:rFonts w:hint="eastAsia" w:ascii="宋体" w:hAnsi="宋体" w:eastAsia="宋体" w:cs="宋体"/>
                <w:spacing w:val="1"/>
                <w:sz w:val="24"/>
                <w:szCs w:val="24"/>
              </w:rPr>
            </w:pPr>
            <w:r>
              <w:rPr>
                <w:rFonts w:hint="eastAsia" w:ascii="宋体" w:hAnsi="宋体" w:eastAsia="宋体" w:cs="宋体"/>
                <w:sz w:val="24"/>
                <w:szCs w:val="24"/>
              </w:rPr>
              <w:t>10.0000</w:t>
            </w:r>
          </w:p>
        </w:tc>
        <w:tc>
          <w:tcPr>
            <w:tcW w:w="809" w:type="dxa"/>
            <w:vAlign w:val="center"/>
          </w:tcPr>
          <w:p w14:paraId="41109E7A">
            <w:pPr>
              <w:pStyle w:val="7"/>
              <w:keepNext w:val="0"/>
              <w:keepLines w:val="0"/>
              <w:pageBreakBefore w:val="0"/>
              <w:widowControl/>
              <w:wordWrap/>
              <w:overflowPunct/>
              <w:topLinePunct w:val="0"/>
              <w:bidi w:val="0"/>
              <w:spacing w:line="360" w:lineRule="auto"/>
              <w:ind w:left="0" w:right="0" w:firstLine="484" w:firstLineChars="200"/>
              <w:jc w:val="both"/>
              <w:rPr>
                <w:rFonts w:hint="eastAsia" w:ascii="宋体" w:hAnsi="宋体" w:eastAsia="宋体" w:cs="宋体"/>
                <w:spacing w:val="1"/>
                <w:sz w:val="24"/>
                <w:szCs w:val="24"/>
              </w:rPr>
            </w:pPr>
            <w:r>
              <w:rPr>
                <w:rFonts w:hint="eastAsia" w:ascii="宋体" w:hAnsi="宋体" w:eastAsia="宋体" w:cs="宋体"/>
                <w:spacing w:val="1"/>
                <w:sz w:val="24"/>
                <w:szCs w:val="24"/>
              </w:rPr>
              <w:t>否</w:t>
            </w:r>
          </w:p>
        </w:tc>
      </w:tr>
      <w:tr w14:paraId="6B613C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3" w:hRule="atLeast"/>
        </w:trPr>
        <w:tc>
          <w:tcPr>
            <w:tcW w:w="920" w:type="dxa"/>
            <w:vAlign w:val="center"/>
          </w:tcPr>
          <w:p w14:paraId="5B0EAD42">
            <w:pPr>
              <w:pStyle w:val="7"/>
              <w:keepNext w:val="0"/>
              <w:keepLines w:val="0"/>
              <w:pageBreakBefore w:val="0"/>
              <w:widowControl/>
              <w:wordWrap/>
              <w:overflowPunct/>
              <w:topLinePunct w:val="0"/>
              <w:bidi w:val="0"/>
              <w:spacing w:line="360" w:lineRule="auto"/>
              <w:ind w:left="0" w:right="0" w:firstLine="484" w:firstLineChars="200"/>
              <w:jc w:val="center"/>
              <w:rPr>
                <w:rFonts w:hint="eastAsia" w:ascii="宋体" w:hAnsi="宋体" w:eastAsia="宋体" w:cs="宋体"/>
                <w:spacing w:val="1"/>
                <w:sz w:val="24"/>
                <w:szCs w:val="24"/>
              </w:rPr>
            </w:pPr>
            <w:r>
              <w:rPr>
                <w:rFonts w:hint="eastAsia" w:ascii="宋体" w:hAnsi="宋体" w:eastAsia="宋体" w:cs="宋体"/>
                <w:spacing w:val="1"/>
                <w:sz w:val="24"/>
                <w:szCs w:val="24"/>
              </w:rPr>
              <w:t>7</w:t>
            </w:r>
          </w:p>
        </w:tc>
        <w:tc>
          <w:tcPr>
            <w:tcW w:w="740" w:type="dxa"/>
            <w:textDirection w:val="tbRlV"/>
            <w:vAlign w:val="center"/>
          </w:tcPr>
          <w:p w14:paraId="25DF1DC4">
            <w:pPr>
              <w:pStyle w:val="7"/>
              <w:keepNext w:val="0"/>
              <w:keepLines w:val="0"/>
              <w:pageBreakBefore w:val="0"/>
              <w:widowControl/>
              <w:wordWrap/>
              <w:overflowPunct/>
              <w:topLinePunct w:val="0"/>
              <w:bidi w:val="0"/>
              <w:spacing w:line="360" w:lineRule="auto"/>
              <w:ind w:left="0" w:leftChars="0" w:right="0" w:firstLine="484" w:firstLineChars="200"/>
              <w:jc w:val="center"/>
              <w:rPr>
                <w:rFonts w:hint="eastAsia" w:ascii="宋体" w:hAnsi="宋体" w:eastAsia="宋体" w:cs="宋体"/>
                <w:spacing w:val="1"/>
                <w:sz w:val="24"/>
                <w:szCs w:val="24"/>
              </w:rPr>
            </w:pPr>
            <w:r>
              <w:rPr>
                <w:rFonts w:hint="eastAsia" w:ascii="宋体" w:hAnsi="宋体" w:eastAsia="宋体" w:cs="宋体"/>
                <w:spacing w:val="1"/>
                <w:sz w:val="24"/>
                <w:szCs w:val="24"/>
              </w:rPr>
              <w:t>详  细  评  审</w:t>
            </w:r>
          </w:p>
        </w:tc>
        <w:tc>
          <w:tcPr>
            <w:tcW w:w="2080" w:type="dxa"/>
            <w:vAlign w:val="center"/>
          </w:tcPr>
          <w:p w14:paraId="45534B6E">
            <w:pPr>
              <w:pStyle w:val="8"/>
              <w:keepNext w:val="0"/>
              <w:keepLines w:val="0"/>
              <w:pageBreakBefore w:val="0"/>
              <w:widowControl/>
              <w:wordWrap/>
              <w:overflowPunct/>
              <w:topLinePunct w:val="0"/>
              <w:bidi w:val="0"/>
              <w:spacing w:line="360" w:lineRule="auto"/>
              <w:ind w:right="0"/>
              <w:jc w:val="center"/>
              <w:rPr>
                <w:rFonts w:hint="eastAsia" w:ascii="宋体" w:hAnsi="宋体" w:eastAsia="宋体" w:cs="宋体"/>
                <w:spacing w:val="1"/>
                <w:sz w:val="24"/>
                <w:szCs w:val="24"/>
              </w:rPr>
            </w:pPr>
            <w:r>
              <w:rPr>
                <w:rFonts w:hint="eastAsia" w:ascii="宋体" w:hAnsi="宋体" w:eastAsia="宋体" w:cs="宋体"/>
                <w:sz w:val="24"/>
                <w:szCs w:val="24"/>
              </w:rPr>
              <w:t>培训方案</w:t>
            </w:r>
          </w:p>
        </w:tc>
        <w:tc>
          <w:tcPr>
            <w:tcW w:w="4043" w:type="dxa"/>
            <w:vAlign w:val="center"/>
          </w:tcPr>
          <w:p w14:paraId="5772DA22">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pacing w:val="1"/>
                <w:sz w:val="24"/>
                <w:szCs w:val="24"/>
                <w:lang w:val="en-US" w:eastAsia="zh-CN"/>
              </w:rPr>
            </w:pPr>
            <w:r>
              <w:rPr>
                <w:rFonts w:hint="eastAsia" w:ascii="宋体" w:hAnsi="宋体" w:eastAsia="宋体" w:cs="宋体"/>
                <w:sz w:val="24"/>
                <w:szCs w:val="24"/>
              </w:rPr>
              <w:t>一、评审内容： 针对该项目提供技术培训方案：①制定培训课程计划表及培训内容（包括所提供设备的操作维护方法、调试、排除故障等方面）；②培训方式，培训方案详细合理，保证使用单位能熟练操作维护和正常使用 二、评审标准： 1.完整性：方案全面，对评审内容中的各项要求有详细阐述； 2.可实施性：切合本项目实际情况，提出步骤清晰、合理的方案； 3.针对性：方案能够紧扣项目实际情况，内容科学合理。 上述两项评审内容全部满足评审标准得8分，每有一个评审内容缺项扣4分，每一项评审内容中每出现一处缺陷扣1分，扣完为止。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w="1960" w:type="dxa"/>
            <w:vAlign w:val="center"/>
          </w:tcPr>
          <w:p w14:paraId="65AD0A4E">
            <w:pPr>
              <w:pStyle w:val="8"/>
              <w:keepNext w:val="0"/>
              <w:keepLines w:val="0"/>
              <w:pageBreakBefore w:val="0"/>
              <w:widowControl/>
              <w:wordWrap/>
              <w:overflowPunct/>
              <w:topLinePunct w:val="0"/>
              <w:bidi w:val="0"/>
              <w:spacing w:line="360" w:lineRule="auto"/>
              <w:ind w:right="0"/>
              <w:jc w:val="center"/>
              <w:rPr>
                <w:rFonts w:hint="eastAsia" w:ascii="宋体" w:hAnsi="宋体" w:eastAsia="宋体" w:cs="宋体"/>
                <w:spacing w:val="1"/>
                <w:sz w:val="24"/>
                <w:szCs w:val="24"/>
                <w:lang w:val="en-US" w:eastAsia="zh-CN"/>
              </w:rPr>
            </w:pPr>
            <w:r>
              <w:rPr>
                <w:rFonts w:hint="eastAsia" w:ascii="宋体" w:hAnsi="宋体" w:eastAsia="宋体" w:cs="宋体"/>
                <w:sz w:val="24"/>
                <w:szCs w:val="24"/>
              </w:rPr>
              <w:t>8.0000</w:t>
            </w:r>
          </w:p>
        </w:tc>
        <w:tc>
          <w:tcPr>
            <w:tcW w:w="809" w:type="dxa"/>
            <w:vAlign w:val="center"/>
          </w:tcPr>
          <w:p w14:paraId="2F9B881B">
            <w:pPr>
              <w:pStyle w:val="7"/>
              <w:keepNext w:val="0"/>
              <w:keepLines w:val="0"/>
              <w:pageBreakBefore w:val="0"/>
              <w:widowControl/>
              <w:wordWrap/>
              <w:overflowPunct/>
              <w:topLinePunct w:val="0"/>
              <w:bidi w:val="0"/>
              <w:spacing w:line="360" w:lineRule="auto"/>
              <w:ind w:left="0" w:right="0" w:firstLine="484" w:firstLineChars="200"/>
              <w:jc w:val="both"/>
              <w:rPr>
                <w:rFonts w:hint="eastAsia" w:ascii="宋体" w:hAnsi="宋体" w:eastAsia="宋体" w:cs="宋体"/>
                <w:spacing w:val="1"/>
                <w:sz w:val="24"/>
                <w:szCs w:val="24"/>
              </w:rPr>
            </w:pPr>
            <w:r>
              <w:rPr>
                <w:rFonts w:hint="eastAsia" w:ascii="宋体" w:hAnsi="宋体" w:eastAsia="宋体" w:cs="宋体"/>
                <w:spacing w:val="1"/>
                <w:sz w:val="24"/>
                <w:szCs w:val="24"/>
              </w:rPr>
              <w:t>否</w:t>
            </w:r>
          </w:p>
        </w:tc>
      </w:tr>
      <w:tr w14:paraId="51B330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54" w:hRule="atLeast"/>
        </w:trPr>
        <w:tc>
          <w:tcPr>
            <w:tcW w:w="920" w:type="dxa"/>
            <w:vAlign w:val="top"/>
          </w:tcPr>
          <w:p w14:paraId="2FDE8FBB">
            <w:pPr>
              <w:pStyle w:val="7"/>
              <w:keepNext w:val="0"/>
              <w:keepLines w:val="0"/>
              <w:pageBreakBefore w:val="0"/>
              <w:widowControl/>
              <w:wordWrap/>
              <w:overflowPunct/>
              <w:topLinePunct w:val="0"/>
              <w:bidi w:val="0"/>
              <w:spacing w:line="360" w:lineRule="auto"/>
              <w:ind w:left="0" w:right="0" w:firstLine="484" w:firstLineChars="200"/>
              <w:jc w:val="center"/>
              <w:rPr>
                <w:rFonts w:hint="eastAsia" w:ascii="宋体" w:hAnsi="宋体" w:eastAsia="宋体" w:cs="宋体"/>
                <w:spacing w:val="1"/>
                <w:sz w:val="24"/>
                <w:szCs w:val="24"/>
              </w:rPr>
            </w:pPr>
          </w:p>
          <w:p w14:paraId="2AB42969">
            <w:pPr>
              <w:pStyle w:val="7"/>
              <w:keepNext w:val="0"/>
              <w:keepLines w:val="0"/>
              <w:pageBreakBefore w:val="0"/>
              <w:widowControl/>
              <w:wordWrap/>
              <w:overflowPunct/>
              <w:topLinePunct w:val="0"/>
              <w:bidi w:val="0"/>
              <w:spacing w:line="360" w:lineRule="auto"/>
              <w:ind w:left="0" w:right="0" w:firstLine="484" w:firstLineChars="200"/>
              <w:jc w:val="center"/>
              <w:rPr>
                <w:rFonts w:hint="eastAsia" w:ascii="宋体" w:hAnsi="宋体" w:eastAsia="宋体" w:cs="宋体"/>
                <w:spacing w:val="1"/>
                <w:sz w:val="24"/>
                <w:szCs w:val="24"/>
              </w:rPr>
            </w:pPr>
            <w:r>
              <w:rPr>
                <w:rFonts w:hint="eastAsia" w:ascii="宋体" w:hAnsi="宋体" w:eastAsia="宋体" w:cs="宋体"/>
                <w:spacing w:val="1"/>
                <w:sz w:val="24"/>
                <w:szCs w:val="24"/>
              </w:rPr>
              <w:t>8</w:t>
            </w:r>
          </w:p>
        </w:tc>
        <w:tc>
          <w:tcPr>
            <w:tcW w:w="740" w:type="dxa"/>
            <w:textDirection w:val="tbRlV"/>
            <w:vAlign w:val="center"/>
          </w:tcPr>
          <w:p w14:paraId="75D24390">
            <w:pPr>
              <w:pStyle w:val="7"/>
              <w:keepNext w:val="0"/>
              <w:keepLines w:val="0"/>
              <w:pageBreakBefore w:val="0"/>
              <w:widowControl/>
              <w:wordWrap/>
              <w:overflowPunct/>
              <w:topLinePunct w:val="0"/>
              <w:bidi w:val="0"/>
              <w:spacing w:line="360" w:lineRule="auto"/>
              <w:ind w:left="0" w:leftChars="0" w:right="0" w:firstLine="0" w:firstLineChars="0"/>
              <w:jc w:val="center"/>
              <w:rPr>
                <w:rFonts w:hint="eastAsia" w:ascii="宋体" w:hAnsi="宋体" w:eastAsia="宋体" w:cs="宋体"/>
                <w:spacing w:val="1"/>
                <w:sz w:val="24"/>
                <w:szCs w:val="24"/>
                <w:lang w:val="en-US" w:eastAsia="zh-CN"/>
              </w:rPr>
            </w:pPr>
          </w:p>
          <w:p w14:paraId="1B5AFCBA">
            <w:pPr>
              <w:pStyle w:val="7"/>
              <w:keepNext w:val="0"/>
              <w:keepLines w:val="0"/>
              <w:pageBreakBefore w:val="0"/>
              <w:widowControl/>
              <w:wordWrap/>
              <w:overflowPunct/>
              <w:topLinePunct w:val="0"/>
              <w:bidi w:val="0"/>
              <w:spacing w:line="360" w:lineRule="auto"/>
              <w:ind w:left="0" w:leftChars="0" w:right="0" w:firstLine="0" w:firstLineChars="0"/>
              <w:jc w:val="center"/>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详细评审</w:t>
            </w:r>
          </w:p>
          <w:p w14:paraId="0D837958">
            <w:pPr>
              <w:pStyle w:val="8"/>
              <w:keepNext w:val="0"/>
              <w:keepLines w:val="0"/>
              <w:pageBreakBefore w:val="0"/>
              <w:widowControl/>
              <w:wordWrap/>
              <w:overflowPunct/>
              <w:topLinePunct w:val="0"/>
              <w:bidi w:val="0"/>
              <w:spacing w:line="360" w:lineRule="auto"/>
              <w:ind w:left="0" w:right="0" w:firstLine="484" w:firstLineChars="200"/>
              <w:jc w:val="center"/>
              <w:rPr>
                <w:rFonts w:hint="eastAsia" w:ascii="宋体" w:hAnsi="宋体" w:eastAsia="宋体" w:cs="宋体"/>
                <w:spacing w:val="1"/>
                <w:sz w:val="24"/>
                <w:szCs w:val="24"/>
              </w:rPr>
            </w:pPr>
          </w:p>
        </w:tc>
        <w:tc>
          <w:tcPr>
            <w:tcW w:w="2080" w:type="dxa"/>
            <w:vAlign w:val="center"/>
          </w:tcPr>
          <w:p w14:paraId="1628E07D">
            <w:pPr>
              <w:pStyle w:val="8"/>
              <w:keepNext w:val="0"/>
              <w:keepLines w:val="0"/>
              <w:pageBreakBefore w:val="0"/>
              <w:widowControl/>
              <w:wordWrap/>
              <w:overflowPunct/>
              <w:topLinePunct w:val="0"/>
              <w:bidi w:val="0"/>
              <w:spacing w:line="360" w:lineRule="auto"/>
              <w:ind w:right="0"/>
              <w:jc w:val="center"/>
              <w:rPr>
                <w:rFonts w:hint="eastAsia" w:ascii="宋体" w:hAnsi="宋体" w:eastAsia="宋体" w:cs="宋体"/>
                <w:spacing w:val="1"/>
                <w:sz w:val="24"/>
                <w:szCs w:val="24"/>
                <w:lang w:val="en-US" w:eastAsia="zh-CN"/>
              </w:rPr>
            </w:pPr>
            <w:r>
              <w:rPr>
                <w:rFonts w:hint="eastAsia" w:ascii="宋体" w:hAnsi="宋体" w:eastAsia="宋体" w:cs="宋体"/>
                <w:sz w:val="24"/>
                <w:szCs w:val="24"/>
              </w:rPr>
              <w:t>节能环保</w:t>
            </w:r>
          </w:p>
        </w:tc>
        <w:tc>
          <w:tcPr>
            <w:tcW w:w="4043" w:type="dxa"/>
            <w:vAlign w:val="center"/>
          </w:tcPr>
          <w:p w14:paraId="15408C94">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z w:val="24"/>
                <w:szCs w:val="24"/>
              </w:rPr>
            </w:pPr>
            <w:r>
              <w:rPr>
                <w:rFonts w:hint="eastAsia" w:ascii="宋体" w:hAnsi="宋体" w:eastAsia="宋体" w:cs="宋体"/>
                <w:sz w:val="24"/>
                <w:szCs w:val="24"/>
              </w:rPr>
              <w:t>所投产品中每有一项为节能产品计0.5分，每有一项为环境标志产品计0.5分，供应商所投产品中每有一项产品同时为节能产品和环境标志产品计1分，最多计1分。（节能环保产品须以国家确定的认证机构出具的、处于有效期内的节能产品、环境标志产品认证证书为准。）</w:t>
            </w:r>
          </w:p>
        </w:tc>
        <w:tc>
          <w:tcPr>
            <w:tcW w:w="1960" w:type="dxa"/>
            <w:vAlign w:val="center"/>
          </w:tcPr>
          <w:p w14:paraId="184A41DA">
            <w:pPr>
              <w:pStyle w:val="8"/>
              <w:keepNext w:val="0"/>
              <w:keepLines w:val="0"/>
              <w:pageBreakBefore w:val="0"/>
              <w:widowControl/>
              <w:wordWrap/>
              <w:overflowPunct/>
              <w:topLinePunct w:val="0"/>
              <w:bidi w:val="0"/>
              <w:spacing w:line="360" w:lineRule="auto"/>
              <w:ind w:left="0" w:right="0" w:firstLine="480" w:firstLineChars="200"/>
              <w:jc w:val="both"/>
              <w:rPr>
                <w:rFonts w:hint="eastAsia" w:ascii="宋体" w:hAnsi="宋体" w:eastAsia="宋体" w:cs="宋体"/>
                <w:spacing w:val="1"/>
                <w:sz w:val="24"/>
                <w:szCs w:val="24"/>
                <w:lang w:val="en-US" w:eastAsia="zh-CN"/>
              </w:rPr>
            </w:pPr>
            <w:r>
              <w:rPr>
                <w:rFonts w:hint="eastAsia" w:ascii="宋体" w:hAnsi="宋体" w:eastAsia="宋体" w:cs="宋体"/>
                <w:sz w:val="24"/>
                <w:szCs w:val="24"/>
              </w:rPr>
              <w:t>1.0000</w:t>
            </w:r>
          </w:p>
        </w:tc>
        <w:tc>
          <w:tcPr>
            <w:tcW w:w="809" w:type="dxa"/>
            <w:vAlign w:val="center"/>
          </w:tcPr>
          <w:p w14:paraId="304D2791">
            <w:pPr>
              <w:pStyle w:val="7"/>
              <w:keepNext w:val="0"/>
              <w:keepLines w:val="0"/>
              <w:pageBreakBefore w:val="0"/>
              <w:widowControl/>
              <w:wordWrap/>
              <w:overflowPunct/>
              <w:topLinePunct w:val="0"/>
              <w:bidi w:val="0"/>
              <w:spacing w:line="360" w:lineRule="auto"/>
              <w:ind w:left="0" w:right="0" w:firstLine="484" w:firstLineChars="200"/>
              <w:jc w:val="both"/>
              <w:rPr>
                <w:rFonts w:hint="eastAsia" w:ascii="宋体" w:hAnsi="宋体" w:eastAsia="宋体" w:cs="宋体"/>
                <w:spacing w:val="1"/>
                <w:sz w:val="24"/>
                <w:szCs w:val="24"/>
              </w:rPr>
            </w:pPr>
            <w:r>
              <w:rPr>
                <w:rFonts w:hint="eastAsia" w:ascii="宋体" w:hAnsi="宋体" w:eastAsia="宋体" w:cs="宋体"/>
                <w:spacing w:val="1"/>
                <w:sz w:val="24"/>
                <w:szCs w:val="24"/>
              </w:rPr>
              <w:t>是</w:t>
            </w:r>
          </w:p>
        </w:tc>
      </w:tr>
      <w:tr w14:paraId="652F75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73" w:hRule="atLeast"/>
        </w:trPr>
        <w:tc>
          <w:tcPr>
            <w:tcW w:w="920" w:type="dxa"/>
            <w:vAlign w:val="top"/>
          </w:tcPr>
          <w:p w14:paraId="6ED6ACC3">
            <w:pPr>
              <w:keepNext w:val="0"/>
              <w:keepLines w:val="0"/>
              <w:pageBreakBefore w:val="0"/>
              <w:widowControl/>
              <w:wordWrap/>
              <w:overflowPunct/>
              <w:topLinePunct w:val="0"/>
              <w:bidi w:val="0"/>
              <w:spacing w:line="360" w:lineRule="auto"/>
              <w:ind w:left="0" w:right="0" w:firstLine="480" w:firstLineChars="200"/>
              <w:jc w:val="center"/>
              <w:rPr>
                <w:rFonts w:hint="eastAsia" w:ascii="宋体" w:hAnsi="宋体" w:eastAsia="宋体" w:cs="宋体"/>
                <w:sz w:val="24"/>
                <w:szCs w:val="24"/>
              </w:rPr>
            </w:pPr>
          </w:p>
          <w:p w14:paraId="471E39F5">
            <w:pPr>
              <w:keepNext w:val="0"/>
              <w:keepLines w:val="0"/>
              <w:pageBreakBefore w:val="0"/>
              <w:widowControl/>
              <w:wordWrap/>
              <w:overflowPunct/>
              <w:topLinePunct w:val="0"/>
              <w:bidi w:val="0"/>
              <w:spacing w:line="360" w:lineRule="auto"/>
              <w:ind w:left="0" w:right="0" w:firstLine="480" w:firstLineChars="200"/>
              <w:jc w:val="center"/>
              <w:rPr>
                <w:rFonts w:hint="eastAsia" w:ascii="宋体" w:hAnsi="宋体" w:eastAsia="宋体" w:cs="宋体"/>
                <w:sz w:val="24"/>
                <w:szCs w:val="24"/>
              </w:rPr>
            </w:pPr>
          </w:p>
          <w:p w14:paraId="275E0541">
            <w:pPr>
              <w:keepNext w:val="0"/>
              <w:keepLines w:val="0"/>
              <w:pageBreakBefore w:val="0"/>
              <w:widowControl/>
              <w:wordWrap/>
              <w:overflowPunct/>
              <w:topLinePunct w:val="0"/>
              <w:bidi w:val="0"/>
              <w:spacing w:line="360" w:lineRule="auto"/>
              <w:ind w:left="0" w:right="0" w:firstLine="480" w:firstLineChars="200"/>
              <w:jc w:val="center"/>
              <w:rPr>
                <w:rFonts w:hint="eastAsia" w:ascii="宋体" w:hAnsi="宋体" w:eastAsia="宋体" w:cs="宋体"/>
                <w:sz w:val="24"/>
                <w:szCs w:val="24"/>
              </w:rPr>
            </w:pPr>
          </w:p>
          <w:p w14:paraId="75A61344">
            <w:pPr>
              <w:keepNext w:val="0"/>
              <w:keepLines w:val="0"/>
              <w:pageBreakBefore w:val="0"/>
              <w:widowControl/>
              <w:wordWrap/>
              <w:overflowPunct/>
              <w:topLinePunct w:val="0"/>
              <w:bidi w:val="0"/>
              <w:spacing w:line="360" w:lineRule="auto"/>
              <w:ind w:left="0" w:right="0" w:firstLine="480" w:firstLineChars="200"/>
              <w:jc w:val="center"/>
              <w:rPr>
                <w:rFonts w:hint="eastAsia" w:ascii="宋体" w:hAnsi="宋体" w:eastAsia="宋体" w:cs="宋体"/>
                <w:sz w:val="24"/>
                <w:szCs w:val="24"/>
              </w:rPr>
            </w:pPr>
            <w:r>
              <w:rPr>
                <w:rFonts w:hint="eastAsia" w:ascii="宋体" w:hAnsi="宋体" w:eastAsia="宋体" w:cs="宋体"/>
                <w:sz w:val="24"/>
                <w:szCs w:val="24"/>
              </w:rPr>
              <w:t>1</w:t>
            </w:r>
          </w:p>
        </w:tc>
        <w:tc>
          <w:tcPr>
            <w:tcW w:w="740" w:type="dxa"/>
            <w:textDirection w:val="tbRlV"/>
            <w:vAlign w:val="center"/>
          </w:tcPr>
          <w:p w14:paraId="7FF0B73D">
            <w:pPr>
              <w:pStyle w:val="7"/>
              <w:keepNext w:val="0"/>
              <w:keepLines w:val="0"/>
              <w:pageBreakBefore w:val="0"/>
              <w:widowControl/>
              <w:wordWrap/>
              <w:overflowPunct/>
              <w:topLinePunct w:val="0"/>
              <w:bidi w:val="0"/>
              <w:spacing w:line="360" w:lineRule="auto"/>
              <w:ind w:left="0" w:right="0" w:firstLine="484" w:firstLineChars="200"/>
              <w:jc w:val="center"/>
              <w:rPr>
                <w:rFonts w:hint="eastAsia" w:ascii="宋体" w:hAnsi="宋体" w:eastAsia="宋体" w:cs="宋体"/>
                <w:spacing w:val="1"/>
                <w:sz w:val="24"/>
                <w:szCs w:val="24"/>
              </w:rPr>
            </w:pPr>
          </w:p>
          <w:p w14:paraId="01AD2B77">
            <w:pPr>
              <w:pStyle w:val="7"/>
              <w:keepNext w:val="0"/>
              <w:keepLines w:val="0"/>
              <w:pageBreakBefore w:val="0"/>
              <w:widowControl/>
              <w:wordWrap/>
              <w:overflowPunct/>
              <w:topLinePunct w:val="0"/>
              <w:bidi w:val="0"/>
              <w:spacing w:line="360" w:lineRule="auto"/>
              <w:ind w:left="0" w:right="0" w:firstLine="484" w:firstLineChars="200"/>
              <w:jc w:val="center"/>
              <w:rPr>
                <w:rFonts w:hint="eastAsia" w:ascii="宋体" w:hAnsi="宋体" w:eastAsia="宋体" w:cs="宋体"/>
                <w:sz w:val="24"/>
                <w:szCs w:val="24"/>
              </w:rPr>
            </w:pPr>
            <w:r>
              <w:rPr>
                <w:rFonts w:hint="eastAsia" w:ascii="宋体" w:hAnsi="宋体" w:eastAsia="宋体" w:cs="宋体"/>
                <w:spacing w:val="1"/>
                <w:sz w:val="24"/>
                <w:szCs w:val="24"/>
              </w:rPr>
              <w:t>价  格  分</w:t>
            </w:r>
          </w:p>
          <w:p w14:paraId="0A177F6D">
            <w:pPr>
              <w:pStyle w:val="8"/>
              <w:keepNext w:val="0"/>
              <w:keepLines w:val="0"/>
              <w:pageBreakBefore w:val="0"/>
              <w:widowControl/>
              <w:wordWrap/>
              <w:overflowPunct/>
              <w:topLinePunct w:val="0"/>
              <w:bidi w:val="0"/>
              <w:spacing w:line="360" w:lineRule="auto"/>
              <w:ind w:left="0" w:right="0" w:firstLine="480" w:firstLineChars="200"/>
              <w:jc w:val="center"/>
              <w:rPr>
                <w:rFonts w:hint="eastAsia" w:ascii="宋体" w:hAnsi="宋体" w:eastAsia="宋体" w:cs="宋体"/>
                <w:sz w:val="24"/>
                <w:szCs w:val="24"/>
              </w:rPr>
            </w:pPr>
          </w:p>
        </w:tc>
        <w:tc>
          <w:tcPr>
            <w:tcW w:w="2080" w:type="dxa"/>
            <w:vAlign w:val="center"/>
          </w:tcPr>
          <w:p w14:paraId="3F0FCB70">
            <w:pPr>
              <w:pStyle w:val="8"/>
              <w:keepNext w:val="0"/>
              <w:keepLines w:val="0"/>
              <w:pageBreakBefore w:val="0"/>
              <w:widowControl/>
              <w:wordWrap/>
              <w:overflowPunct/>
              <w:topLinePunct w:val="0"/>
              <w:bidi w:val="0"/>
              <w:spacing w:line="360" w:lineRule="auto"/>
              <w:ind w:right="0"/>
              <w:jc w:val="center"/>
              <w:rPr>
                <w:rFonts w:hint="eastAsia" w:ascii="宋体" w:hAnsi="宋体" w:eastAsia="宋体" w:cs="宋体"/>
                <w:spacing w:val="1"/>
                <w:sz w:val="24"/>
                <w:szCs w:val="24"/>
                <w:lang w:val="en-US" w:eastAsia="zh-CN"/>
              </w:rPr>
            </w:pPr>
            <w:r>
              <w:rPr>
                <w:rFonts w:hint="eastAsia" w:ascii="宋体" w:hAnsi="宋体" w:eastAsia="宋体" w:cs="宋体"/>
                <w:sz w:val="24"/>
                <w:szCs w:val="24"/>
              </w:rPr>
              <w:t>价格分</w:t>
            </w:r>
          </w:p>
        </w:tc>
        <w:tc>
          <w:tcPr>
            <w:tcW w:w="4043" w:type="dxa"/>
            <w:vAlign w:val="center"/>
          </w:tcPr>
          <w:p w14:paraId="0C6EED6C">
            <w:pPr>
              <w:pStyle w:val="8"/>
              <w:keepNext w:val="0"/>
              <w:keepLines w:val="0"/>
              <w:pageBreakBefore w:val="0"/>
              <w:widowControl/>
              <w:wordWrap/>
              <w:overflowPunct/>
              <w:topLinePunct w:val="0"/>
              <w:bidi w:val="0"/>
              <w:spacing w:line="360" w:lineRule="auto"/>
              <w:ind w:right="0"/>
              <w:jc w:val="both"/>
              <w:rPr>
                <w:rFonts w:hint="eastAsia" w:ascii="宋体" w:hAnsi="宋体" w:eastAsia="宋体" w:cs="宋体"/>
                <w:sz w:val="24"/>
                <w:szCs w:val="24"/>
              </w:rPr>
            </w:pPr>
            <w:r>
              <w:rPr>
                <w:rFonts w:hint="eastAsia" w:ascii="宋体" w:hAnsi="宋体" w:eastAsia="宋体" w:cs="宋体"/>
                <w:sz w:val="24"/>
                <w:szCs w:val="24"/>
              </w:rPr>
              <w:t>1.经初审合格的磋商响应文件，通过符合性审查的磋商报价为有效报价。</w:t>
            </w:r>
            <w:bookmarkStart w:id="0" w:name="_GoBack"/>
            <w:bookmarkEnd w:id="0"/>
            <w:r>
              <w:rPr>
                <w:rFonts w:hint="eastAsia" w:ascii="宋体" w:hAnsi="宋体" w:eastAsia="宋体" w:cs="宋体"/>
                <w:sz w:val="24"/>
                <w:szCs w:val="24"/>
              </w:rPr>
              <w:t xml:space="preserve"> 2.满足磋商文件实质性要求且最终报价最低的供应商的价格为磋商基准价，其价格分为满分30分。 3.磋商报价得分=（磋商基准价/最终磋商报价）×30的公式计算得分。</w:t>
            </w:r>
          </w:p>
        </w:tc>
        <w:tc>
          <w:tcPr>
            <w:tcW w:w="1960" w:type="dxa"/>
            <w:vAlign w:val="center"/>
          </w:tcPr>
          <w:p w14:paraId="015FF3E3">
            <w:pPr>
              <w:pStyle w:val="8"/>
              <w:keepNext w:val="0"/>
              <w:keepLines w:val="0"/>
              <w:pageBreakBefore w:val="0"/>
              <w:widowControl/>
              <w:wordWrap/>
              <w:overflowPunct/>
              <w:topLinePunct w:val="0"/>
              <w:bidi w:val="0"/>
              <w:spacing w:line="360" w:lineRule="auto"/>
              <w:ind w:left="0" w:right="0" w:firstLine="480" w:firstLineChars="200"/>
              <w:jc w:val="both"/>
              <w:rPr>
                <w:rFonts w:hint="eastAsia" w:ascii="宋体" w:hAnsi="宋体" w:eastAsia="宋体" w:cs="宋体"/>
                <w:spacing w:val="1"/>
                <w:sz w:val="24"/>
                <w:szCs w:val="24"/>
                <w:lang w:val="en-US" w:eastAsia="zh-CN"/>
              </w:rPr>
            </w:pPr>
            <w:r>
              <w:rPr>
                <w:rFonts w:hint="eastAsia" w:ascii="宋体" w:hAnsi="宋体" w:eastAsia="宋体" w:cs="宋体"/>
                <w:sz w:val="24"/>
                <w:szCs w:val="24"/>
              </w:rPr>
              <w:t>30.0000</w:t>
            </w:r>
          </w:p>
        </w:tc>
        <w:tc>
          <w:tcPr>
            <w:tcW w:w="809" w:type="dxa"/>
            <w:vAlign w:val="center"/>
          </w:tcPr>
          <w:p w14:paraId="6B4DBE15">
            <w:pPr>
              <w:keepNext w:val="0"/>
              <w:keepLines w:val="0"/>
              <w:pageBreakBefore w:val="0"/>
              <w:widowControl/>
              <w:wordWrap/>
              <w:overflowPunct/>
              <w:topLinePunct w:val="0"/>
              <w:bidi w:val="0"/>
              <w:spacing w:line="360" w:lineRule="auto"/>
              <w:ind w:left="0" w:right="0" w:firstLine="480" w:firstLineChars="200"/>
              <w:jc w:val="both"/>
              <w:rPr>
                <w:rFonts w:hint="eastAsia" w:ascii="宋体" w:hAnsi="宋体" w:eastAsia="宋体" w:cs="宋体"/>
                <w:sz w:val="24"/>
                <w:szCs w:val="24"/>
              </w:rPr>
            </w:pPr>
          </w:p>
          <w:p w14:paraId="74061A4C">
            <w:pPr>
              <w:pStyle w:val="7"/>
              <w:keepNext w:val="0"/>
              <w:keepLines w:val="0"/>
              <w:pageBreakBefore w:val="0"/>
              <w:widowControl/>
              <w:wordWrap/>
              <w:overflowPunct/>
              <w:topLinePunct w:val="0"/>
              <w:bidi w:val="0"/>
              <w:spacing w:line="360" w:lineRule="auto"/>
              <w:ind w:left="0" w:right="0" w:firstLine="480" w:firstLineChars="200"/>
              <w:jc w:val="both"/>
              <w:rPr>
                <w:rFonts w:hint="eastAsia" w:ascii="宋体" w:hAnsi="宋体" w:eastAsia="宋体" w:cs="宋体"/>
                <w:sz w:val="24"/>
                <w:szCs w:val="24"/>
              </w:rPr>
            </w:pPr>
            <w:r>
              <w:rPr>
                <w:rFonts w:hint="eastAsia" w:ascii="宋体" w:hAnsi="宋体" w:eastAsia="宋体" w:cs="宋体"/>
                <w:sz w:val="24"/>
                <w:szCs w:val="24"/>
              </w:rPr>
              <w:t>是</w:t>
            </w:r>
          </w:p>
        </w:tc>
      </w:tr>
    </w:tbl>
    <w:p w14:paraId="5B5CB08F">
      <w:pPr>
        <w:pStyle w:val="2"/>
        <w:keepNext w:val="0"/>
        <w:keepLines w:val="0"/>
        <w:pageBreakBefore w:val="0"/>
        <w:widowControl/>
        <w:wordWrap/>
        <w:overflowPunct/>
        <w:topLinePunct w:val="0"/>
        <w:bidi w:val="0"/>
        <w:spacing w:line="360" w:lineRule="auto"/>
        <w:ind w:left="0" w:right="0" w:firstLine="476" w:firstLineChars="200"/>
        <w:rPr>
          <w:rFonts w:hint="eastAsia" w:ascii="宋体" w:hAnsi="宋体" w:eastAsia="宋体" w:cs="宋体"/>
          <w:sz w:val="24"/>
          <w:szCs w:val="24"/>
        </w:rPr>
      </w:pPr>
      <w:r>
        <w:rPr>
          <w:rFonts w:hint="eastAsia" w:ascii="宋体" w:hAnsi="宋体" w:eastAsia="宋体" w:cs="宋体"/>
          <w:spacing w:val="-1"/>
          <w:sz w:val="24"/>
          <w:szCs w:val="24"/>
        </w:rPr>
        <w:t>10、合同管理安排</w:t>
      </w:r>
    </w:p>
    <w:p w14:paraId="68E0BFA6">
      <w:pPr>
        <w:pStyle w:val="2"/>
        <w:keepNext w:val="0"/>
        <w:keepLines w:val="0"/>
        <w:pageBreakBefore w:val="0"/>
        <w:widowControl/>
        <w:wordWrap/>
        <w:overflowPunct/>
        <w:topLinePunct w:val="0"/>
        <w:bidi w:val="0"/>
        <w:spacing w:line="360" w:lineRule="auto"/>
        <w:ind w:left="0" w:right="0" w:firstLine="476" w:firstLineChars="200"/>
        <w:rPr>
          <w:rFonts w:hint="eastAsia" w:ascii="宋体" w:hAnsi="宋体" w:eastAsia="宋体" w:cs="宋体"/>
          <w:sz w:val="24"/>
          <w:szCs w:val="24"/>
        </w:rPr>
      </w:pPr>
      <w:r>
        <w:rPr>
          <w:rFonts w:hint="eastAsia" w:ascii="宋体" w:hAnsi="宋体" w:eastAsia="宋体" w:cs="宋体"/>
          <w:spacing w:val="-1"/>
          <w:sz w:val="24"/>
          <w:szCs w:val="24"/>
        </w:rPr>
        <w:t>1）合同类型：买卖合同</w:t>
      </w:r>
    </w:p>
    <w:p w14:paraId="2DB9A6D6">
      <w:pPr>
        <w:pStyle w:val="2"/>
        <w:keepNext w:val="0"/>
        <w:keepLines w:val="0"/>
        <w:pageBreakBefore w:val="0"/>
        <w:widowControl/>
        <w:wordWrap/>
        <w:overflowPunct/>
        <w:topLinePunct w:val="0"/>
        <w:bidi w:val="0"/>
        <w:spacing w:line="360" w:lineRule="auto"/>
        <w:ind w:left="0" w:right="0" w:firstLine="484" w:firstLineChars="200"/>
        <w:rPr>
          <w:rFonts w:hint="eastAsia" w:ascii="宋体" w:hAnsi="宋体" w:eastAsia="宋体" w:cs="宋体"/>
          <w:sz w:val="24"/>
          <w:szCs w:val="24"/>
        </w:rPr>
      </w:pPr>
      <w:r>
        <w:rPr>
          <w:rFonts w:hint="eastAsia" w:ascii="宋体" w:hAnsi="宋体" w:eastAsia="宋体" w:cs="宋体"/>
          <w:spacing w:val="1"/>
          <w:sz w:val="24"/>
          <w:szCs w:val="24"/>
        </w:rPr>
        <w:t>2）合同履行期限： 自合同签订之日起15个日历日完成全部项目内容</w:t>
      </w:r>
      <w:r>
        <w:rPr>
          <w:rFonts w:hint="eastAsia" w:ascii="宋体" w:hAnsi="宋体" w:eastAsia="宋体" w:cs="宋体"/>
          <w:sz w:val="24"/>
          <w:szCs w:val="24"/>
        </w:rPr>
        <w:t>，并交付采购人验收合格。</w:t>
      </w:r>
    </w:p>
    <w:p w14:paraId="201FAC67">
      <w:pPr>
        <w:pStyle w:val="2"/>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3）合同履约地点：采购人指定地点。</w:t>
      </w:r>
    </w:p>
    <w:p w14:paraId="390EA67C">
      <w:pPr>
        <w:pStyle w:val="2"/>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4）支付方式：分期付款</w:t>
      </w:r>
    </w:p>
    <w:p w14:paraId="17733941">
      <w:pPr>
        <w:pStyle w:val="2"/>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5）履约保证金及缴纳形式：</w:t>
      </w:r>
    </w:p>
    <w:p w14:paraId="3FE1C003">
      <w:pPr>
        <w:pStyle w:val="2"/>
        <w:keepNext w:val="0"/>
        <w:keepLines w:val="0"/>
        <w:pageBreakBefore w:val="0"/>
        <w:widowControl/>
        <w:wordWrap/>
        <w:overflowPunct/>
        <w:topLinePunct w:val="0"/>
        <w:bidi w:val="0"/>
        <w:spacing w:line="360" w:lineRule="auto"/>
        <w:ind w:left="0" w:right="0" w:firstLine="476" w:firstLineChars="200"/>
        <w:rPr>
          <w:rFonts w:hint="eastAsia" w:ascii="宋体" w:hAnsi="宋体" w:eastAsia="宋体" w:cs="宋体"/>
          <w:sz w:val="24"/>
          <w:szCs w:val="24"/>
        </w:rPr>
      </w:pPr>
      <w:r>
        <w:rPr>
          <w:rFonts w:hint="eastAsia" w:ascii="宋体" w:hAnsi="宋体" w:eastAsia="宋体" w:cs="宋体"/>
          <w:spacing w:val="-1"/>
          <w:sz w:val="24"/>
          <w:szCs w:val="24"/>
        </w:rPr>
        <w:t>中标/成交供应商是否需要缴纳履约保证金：否</w:t>
      </w:r>
    </w:p>
    <w:p w14:paraId="6293B824">
      <w:pPr>
        <w:pStyle w:val="2"/>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6）质量保证金及缴纳形式：</w:t>
      </w:r>
    </w:p>
    <w:p w14:paraId="35489EEC">
      <w:pPr>
        <w:pStyle w:val="2"/>
        <w:keepNext w:val="0"/>
        <w:keepLines w:val="0"/>
        <w:pageBreakBefore w:val="0"/>
        <w:widowControl/>
        <w:wordWrap/>
        <w:overflowPunct/>
        <w:topLinePunct w:val="0"/>
        <w:bidi w:val="0"/>
        <w:spacing w:line="360" w:lineRule="auto"/>
        <w:ind w:left="0" w:right="0" w:firstLine="476" w:firstLineChars="200"/>
        <w:rPr>
          <w:rFonts w:hint="eastAsia" w:ascii="宋体" w:hAnsi="宋体" w:eastAsia="宋体" w:cs="宋体"/>
          <w:sz w:val="24"/>
          <w:szCs w:val="24"/>
        </w:rPr>
      </w:pPr>
      <w:r>
        <w:rPr>
          <w:rFonts w:hint="eastAsia" w:ascii="宋体" w:hAnsi="宋体" w:eastAsia="宋体" w:cs="宋体"/>
          <w:spacing w:val="-1"/>
          <w:sz w:val="24"/>
          <w:szCs w:val="24"/>
        </w:rPr>
        <w:t>中标/成交供应商是否需要缴纳质量保证金：否</w:t>
      </w:r>
    </w:p>
    <w:p w14:paraId="6E05619C">
      <w:pPr>
        <w:pStyle w:val="2"/>
        <w:keepNext w:val="0"/>
        <w:keepLines w:val="0"/>
        <w:pageBreakBefore w:val="0"/>
        <w:widowControl/>
        <w:wordWrap/>
        <w:overflowPunct/>
        <w:topLinePunct w:val="0"/>
        <w:bidi w:val="0"/>
        <w:spacing w:line="360" w:lineRule="auto"/>
        <w:ind w:left="0" w:right="0" w:firstLine="476" w:firstLineChars="200"/>
        <w:rPr>
          <w:rFonts w:hint="eastAsia" w:ascii="宋体" w:hAnsi="宋体" w:eastAsia="宋体" w:cs="宋体"/>
          <w:sz w:val="24"/>
          <w:szCs w:val="24"/>
        </w:rPr>
      </w:pPr>
      <w:r>
        <w:rPr>
          <w:rFonts w:hint="eastAsia" w:ascii="宋体" w:hAnsi="宋体" w:eastAsia="宋体" w:cs="宋体"/>
          <w:spacing w:val="-1"/>
          <w:sz w:val="24"/>
          <w:szCs w:val="24"/>
        </w:rPr>
        <w:t>7）合同支付约定：</w:t>
      </w:r>
    </w:p>
    <w:p w14:paraId="62FFA06F">
      <w:pPr>
        <w:pStyle w:val="2"/>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pacing w:val="-28"/>
          <w:sz w:val="24"/>
          <w:szCs w:val="24"/>
        </w:rPr>
        <w:t xml:space="preserve"> </w:t>
      </w:r>
      <w:r>
        <w:rPr>
          <w:rFonts w:hint="eastAsia" w:ascii="宋体" w:hAnsi="宋体" w:eastAsia="宋体" w:cs="宋体"/>
          <w:sz w:val="24"/>
          <w:szCs w:val="24"/>
        </w:rPr>
        <w:t>付款条件说明：</w:t>
      </w:r>
      <w:r>
        <w:rPr>
          <w:rFonts w:hint="eastAsia" w:ascii="宋体" w:hAnsi="宋体" w:eastAsia="宋体" w:cs="宋体"/>
          <w:spacing w:val="-21"/>
          <w:sz w:val="24"/>
          <w:szCs w:val="24"/>
        </w:rPr>
        <w:t xml:space="preserve"> </w:t>
      </w:r>
      <w:r>
        <w:rPr>
          <w:rFonts w:hint="eastAsia" w:ascii="宋体" w:hAnsi="宋体" w:eastAsia="宋体" w:cs="宋体"/>
          <w:sz w:val="24"/>
          <w:szCs w:val="24"/>
        </w:rPr>
        <w:t>项目验收合格 ，达到付款条件起</w:t>
      </w:r>
      <w:r>
        <w:rPr>
          <w:rFonts w:hint="eastAsia" w:ascii="宋体" w:hAnsi="宋体" w:eastAsia="宋体" w:cs="宋体"/>
          <w:spacing w:val="-19"/>
          <w:sz w:val="24"/>
          <w:szCs w:val="24"/>
        </w:rPr>
        <w:t xml:space="preserve"> </w:t>
      </w:r>
      <w:r>
        <w:rPr>
          <w:rFonts w:hint="eastAsia" w:ascii="宋体" w:hAnsi="宋体" w:eastAsia="宋体" w:cs="宋体"/>
          <w:sz w:val="24"/>
          <w:szCs w:val="24"/>
        </w:rPr>
        <w:t>25</w:t>
      </w:r>
      <w:r>
        <w:rPr>
          <w:rFonts w:hint="eastAsia" w:ascii="宋体" w:hAnsi="宋体" w:eastAsia="宋体" w:cs="宋体"/>
          <w:spacing w:val="37"/>
          <w:sz w:val="24"/>
          <w:szCs w:val="24"/>
        </w:rPr>
        <w:t xml:space="preserve"> </w:t>
      </w:r>
      <w:r>
        <w:rPr>
          <w:rFonts w:hint="eastAsia" w:ascii="宋体" w:hAnsi="宋体" w:eastAsia="宋体" w:cs="宋体"/>
          <w:sz w:val="24"/>
          <w:szCs w:val="24"/>
        </w:rPr>
        <w:t>日内，支付</w:t>
      </w:r>
      <w:r>
        <w:rPr>
          <w:rFonts w:hint="eastAsia" w:ascii="宋体" w:hAnsi="宋体" w:eastAsia="宋体" w:cs="宋体"/>
          <w:spacing w:val="-1"/>
          <w:sz w:val="24"/>
          <w:szCs w:val="24"/>
        </w:rPr>
        <w:t>合同总金额的</w:t>
      </w:r>
      <w:r>
        <w:rPr>
          <w:rFonts w:hint="eastAsia" w:ascii="宋体" w:hAnsi="宋体" w:eastAsia="宋体" w:cs="宋体"/>
          <w:spacing w:val="-21"/>
          <w:sz w:val="24"/>
          <w:szCs w:val="24"/>
        </w:rPr>
        <w:t xml:space="preserve"> </w:t>
      </w:r>
      <w:r>
        <w:rPr>
          <w:rFonts w:hint="eastAsia" w:ascii="宋体" w:hAnsi="宋体" w:eastAsia="宋体" w:cs="宋体"/>
          <w:spacing w:val="-1"/>
          <w:sz w:val="24"/>
          <w:szCs w:val="24"/>
        </w:rPr>
        <w:t>80.00%。</w:t>
      </w:r>
    </w:p>
    <w:p w14:paraId="73EE66DB">
      <w:pPr>
        <w:pStyle w:val="2"/>
        <w:keepNext w:val="0"/>
        <w:keepLines w:val="0"/>
        <w:pageBreakBefore w:val="0"/>
        <w:widowControl/>
        <w:wordWrap/>
        <w:overflowPunct/>
        <w:topLinePunct w:val="0"/>
        <w:bidi w:val="0"/>
        <w:spacing w:line="360" w:lineRule="auto"/>
        <w:ind w:left="0" w:right="0" w:firstLine="476" w:firstLineChars="200"/>
        <w:rPr>
          <w:rFonts w:hint="eastAsia" w:ascii="宋体" w:hAnsi="宋体" w:eastAsia="宋体" w:cs="宋体"/>
          <w:sz w:val="24"/>
          <w:szCs w:val="24"/>
        </w:rPr>
      </w:pPr>
      <w:r>
        <w:rPr>
          <w:rFonts w:hint="eastAsia" w:ascii="宋体" w:hAnsi="宋体" w:eastAsia="宋体" w:cs="宋体"/>
          <w:spacing w:val="-1"/>
          <w:sz w:val="24"/>
          <w:szCs w:val="24"/>
        </w:rPr>
        <w:t>2、</w:t>
      </w:r>
      <w:r>
        <w:rPr>
          <w:rFonts w:hint="eastAsia" w:ascii="宋体" w:hAnsi="宋体" w:eastAsia="宋体" w:cs="宋体"/>
          <w:spacing w:val="-10"/>
          <w:sz w:val="24"/>
          <w:szCs w:val="24"/>
        </w:rPr>
        <w:t xml:space="preserve"> </w:t>
      </w:r>
      <w:r>
        <w:rPr>
          <w:rFonts w:hint="eastAsia" w:ascii="宋体" w:hAnsi="宋体" w:eastAsia="宋体" w:cs="宋体"/>
          <w:spacing w:val="-1"/>
          <w:sz w:val="24"/>
          <w:szCs w:val="24"/>
        </w:rPr>
        <w:t>付款条件说明：</w:t>
      </w:r>
      <w:r>
        <w:rPr>
          <w:rFonts w:hint="eastAsia" w:ascii="宋体" w:hAnsi="宋体" w:eastAsia="宋体" w:cs="宋体"/>
          <w:spacing w:val="-21"/>
          <w:sz w:val="24"/>
          <w:szCs w:val="24"/>
        </w:rPr>
        <w:t xml:space="preserve"> </w:t>
      </w:r>
      <w:r>
        <w:rPr>
          <w:rFonts w:hint="eastAsia" w:ascii="宋体" w:hAnsi="宋体" w:eastAsia="宋体" w:cs="宋体"/>
          <w:spacing w:val="-1"/>
          <w:sz w:val="24"/>
          <w:szCs w:val="24"/>
        </w:rPr>
        <w:t>设备运行满一年后，无任何问题，支付剩余的合同金额 ，达到付款条件起</w:t>
      </w:r>
      <w:r>
        <w:rPr>
          <w:rFonts w:hint="eastAsia" w:ascii="宋体" w:hAnsi="宋体" w:eastAsia="宋体" w:cs="宋体"/>
          <w:spacing w:val="-19"/>
          <w:sz w:val="24"/>
          <w:szCs w:val="24"/>
        </w:rPr>
        <w:t xml:space="preserve"> </w:t>
      </w:r>
      <w:r>
        <w:rPr>
          <w:rFonts w:hint="eastAsia" w:ascii="宋体" w:hAnsi="宋体" w:eastAsia="宋体" w:cs="宋体"/>
          <w:spacing w:val="-1"/>
          <w:sz w:val="24"/>
          <w:szCs w:val="24"/>
        </w:rPr>
        <w:t>25</w:t>
      </w:r>
      <w:r>
        <w:rPr>
          <w:rFonts w:hint="eastAsia" w:ascii="宋体" w:hAnsi="宋体" w:eastAsia="宋体" w:cs="宋体"/>
          <w:spacing w:val="37"/>
          <w:sz w:val="24"/>
          <w:szCs w:val="24"/>
        </w:rPr>
        <w:t xml:space="preserve"> </w:t>
      </w:r>
      <w:r>
        <w:rPr>
          <w:rFonts w:hint="eastAsia" w:ascii="宋体" w:hAnsi="宋体" w:eastAsia="宋体" w:cs="宋体"/>
          <w:spacing w:val="-1"/>
          <w:sz w:val="24"/>
          <w:szCs w:val="24"/>
        </w:rPr>
        <w:t>日内，支付合</w:t>
      </w:r>
      <w:r>
        <w:rPr>
          <w:rFonts w:hint="eastAsia" w:ascii="宋体" w:hAnsi="宋体" w:eastAsia="宋体" w:cs="宋体"/>
          <w:sz w:val="24"/>
          <w:szCs w:val="24"/>
        </w:rPr>
        <w:t xml:space="preserve"> </w:t>
      </w:r>
      <w:r>
        <w:rPr>
          <w:rFonts w:hint="eastAsia" w:ascii="宋体" w:hAnsi="宋体" w:eastAsia="宋体" w:cs="宋体"/>
          <w:spacing w:val="2"/>
          <w:sz w:val="24"/>
          <w:szCs w:val="24"/>
        </w:rPr>
        <w:t>同总金额的</w:t>
      </w:r>
      <w:r>
        <w:rPr>
          <w:rFonts w:hint="eastAsia" w:ascii="宋体" w:hAnsi="宋体" w:eastAsia="宋体" w:cs="宋体"/>
          <w:spacing w:val="-11"/>
          <w:sz w:val="24"/>
          <w:szCs w:val="24"/>
        </w:rPr>
        <w:t xml:space="preserve"> </w:t>
      </w:r>
      <w:r>
        <w:rPr>
          <w:rFonts w:hint="eastAsia" w:ascii="宋体" w:hAnsi="宋体" w:eastAsia="宋体" w:cs="宋体"/>
          <w:spacing w:val="2"/>
          <w:sz w:val="24"/>
          <w:szCs w:val="24"/>
        </w:rPr>
        <w:t>20.00%。</w:t>
      </w:r>
    </w:p>
    <w:p w14:paraId="4A336A59">
      <w:pPr>
        <w:pStyle w:val="2"/>
        <w:keepNext w:val="0"/>
        <w:keepLines w:val="0"/>
        <w:pageBreakBefore w:val="0"/>
        <w:widowControl/>
        <w:wordWrap/>
        <w:overflowPunct/>
        <w:topLinePunct w:val="0"/>
        <w:bidi w:val="0"/>
        <w:spacing w:line="360" w:lineRule="auto"/>
        <w:ind w:left="0" w:right="0" w:firstLine="484" w:firstLineChars="200"/>
        <w:rPr>
          <w:rFonts w:hint="eastAsia" w:ascii="宋体" w:hAnsi="宋体" w:eastAsia="宋体" w:cs="宋体"/>
          <w:sz w:val="24"/>
          <w:szCs w:val="24"/>
        </w:rPr>
      </w:pPr>
      <w:r>
        <w:rPr>
          <w:rFonts w:hint="eastAsia" w:ascii="宋体" w:hAnsi="宋体" w:eastAsia="宋体" w:cs="宋体"/>
          <w:spacing w:val="1"/>
          <w:sz w:val="24"/>
          <w:szCs w:val="24"/>
        </w:rPr>
        <w:t>8）验收交付标准和方法：按照本项目合同内容执行。</w:t>
      </w:r>
    </w:p>
    <w:p w14:paraId="6D484FAE">
      <w:pPr>
        <w:pStyle w:val="2"/>
        <w:keepNext w:val="0"/>
        <w:keepLines w:val="0"/>
        <w:pageBreakBefore w:val="0"/>
        <w:widowControl/>
        <w:wordWrap/>
        <w:overflowPunct/>
        <w:topLinePunct w:val="0"/>
        <w:bidi w:val="0"/>
        <w:spacing w:line="360" w:lineRule="auto"/>
        <w:ind w:left="0" w:right="0" w:firstLine="488" w:firstLineChars="200"/>
        <w:rPr>
          <w:rFonts w:hint="eastAsia" w:ascii="宋体" w:hAnsi="宋体" w:eastAsia="宋体" w:cs="宋体"/>
          <w:sz w:val="24"/>
          <w:szCs w:val="24"/>
        </w:rPr>
      </w:pPr>
      <w:r>
        <w:rPr>
          <w:rFonts w:hint="eastAsia" w:ascii="宋体" w:hAnsi="宋体" w:eastAsia="宋体" w:cs="宋体"/>
          <w:spacing w:val="2"/>
          <w:sz w:val="24"/>
          <w:szCs w:val="24"/>
        </w:rPr>
        <w:t>9）质量保修范围和保修期：质量保证期：整机原厂质保至少2年。质保期内供应</w:t>
      </w:r>
      <w:r>
        <w:rPr>
          <w:rFonts w:hint="eastAsia" w:ascii="宋体" w:hAnsi="宋体" w:eastAsia="宋体" w:cs="宋体"/>
          <w:spacing w:val="1"/>
          <w:sz w:val="24"/>
          <w:szCs w:val="24"/>
        </w:rPr>
        <w:t>商提供免费维修及免费软件升级服</w:t>
      </w:r>
    </w:p>
    <w:p w14:paraId="3ED871DE">
      <w:pPr>
        <w:pStyle w:val="2"/>
        <w:keepNext w:val="0"/>
        <w:keepLines w:val="0"/>
        <w:pageBreakBefore w:val="0"/>
        <w:widowControl/>
        <w:wordWrap/>
        <w:overflowPunct/>
        <w:topLinePunct w:val="0"/>
        <w:bidi w:val="0"/>
        <w:spacing w:line="360" w:lineRule="auto"/>
        <w:ind w:left="0" w:right="0" w:firstLine="488" w:firstLineChars="200"/>
        <w:rPr>
          <w:rFonts w:hint="eastAsia" w:ascii="宋体" w:hAnsi="宋体" w:eastAsia="宋体" w:cs="宋体"/>
          <w:sz w:val="24"/>
          <w:szCs w:val="24"/>
        </w:rPr>
      </w:pPr>
      <w:r>
        <w:rPr>
          <w:rFonts w:hint="eastAsia" w:ascii="宋体" w:hAnsi="宋体" w:eastAsia="宋体" w:cs="宋体"/>
          <w:spacing w:val="2"/>
          <w:sz w:val="24"/>
          <w:szCs w:val="24"/>
        </w:rPr>
        <w:t>务</w:t>
      </w:r>
      <w:r>
        <w:rPr>
          <w:rFonts w:hint="eastAsia" w:ascii="宋体" w:hAnsi="宋体" w:eastAsia="宋体" w:cs="宋体"/>
          <w:spacing w:val="-3"/>
          <w:sz w:val="24"/>
          <w:szCs w:val="24"/>
        </w:rPr>
        <w:t>；（</w:t>
      </w:r>
      <w:r>
        <w:rPr>
          <w:rFonts w:hint="eastAsia" w:ascii="宋体" w:hAnsi="宋体" w:eastAsia="宋体" w:cs="宋体"/>
          <w:spacing w:val="2"/>
          <w:sz w:val="24"/>
          <w:szCs w:val="24"/>
        </w:rPr>
        <w:t>如供货商为代理商，在装机验收时需向采购人提供与厂家签订的针对所供货物的质保期保修协议）质保期内，设备不能</w:t>
      </w:r>
      <w:r>
        <w:rPr>
          <w:rFonts w:hint="eastAsia" w:ascii="宋体" w:hAnsi="宋体" w:eastAsia="宋体" w:cs="宋体"/>
          <w:spacing w:val="1"/>
          <w:sz w:val="24"/>
          <w:szCs w:val="24"/>
        </w:rPr>
        <w:t xml:space="preserve"> 正常使用超过七日时，投标人应提供备用机，质保期相应顺延。</w:t>
      </w:r>
      <w:r>
        <w:rPr>
          <w:rFonts w:hint="eastAsia" w:ascii="宋体" w:hAnsi="宋体" w:eastAsia="宋体" w:cs="宋体"/>
          <w:spacing w:val="-25"/>
          <w:sz w:val="24"/>
          <w:szCs w:val="24"/>
        </w:rPr>
        <w:t xml:space="preserve"> </w:t>
      </w:r>
      <w:r>
        <w:rPr>
          <w:rFonts w:hint="eastAsia" w:ascii="宋体" w:hAnsi="宋体" w:eastAsia="宋体" w:cs="宋体"/>
          <w:spacing w:val="1"/>
          <w:sz w:val="24"/>
          <w:szCs w:val="24"/>
        </w:rPr>
        <w:t>售后服务响应时间（质保期内</w:t>
      </w:r>
      <w:r>
        <w:rPr>
          <w:rFonts w:hint="eastAsia" w:ascii="宋体" w:hAnsi="宋体" w:eastAsia="宋体" w:cs="宋体"/>
          <w:spacing w:val="17"/>
          <w:sz w:val="24"/>
          <w:szCs w:val="24"/>
        </w:rPr>
        <w:t>）：</w:t>
      </w:r>
      <w:r>
        <w:rPr>
          <w:rFonts w:hint="eastAsia" w:ascii="宋体" w:hAnsi="宋体" w:eastAsia="宋体" w:cs="宋体"/>
          <w:spacing w:val="1"/>
          <w:sz w:val="24"/>
          <w:szCs w:val="24"/>
        </w:rPr>
        <w:t>即时响应（包括电话响</w:t>
      </w:r>
    </w:p>
    <w:p w14:paraId="1E972FED">
      <w:pPr>
        <w:pStyle w:val="2"/>
        <w:keepNext w:val="0"/>
        <w:keepLines w:val="0"/>
        <w:pageBreakBefore w:val="0"/>
        <w:widowControl/>
        <w:wordWrap/>
        <w:overflowPunct/>
        <w:topLinePunct w:val="0"/>
        <w:bidi w:val="0"/>
        <w:spacing w:line="360" w:lineRule="auto"/>
        <w:ind w:left="0" w:right="0" w:firstLine="484" w:firstLineChars="200"/>
        <w:rPr>
          <w:rFonts w:hint="eastAsia" w:ascii="宋体" w:hAnsi="宋体" w:eastAsia="宋体" w:cs="宋体"/>
          <w:sz w:val="24"/>
          <w:szCs w:val="24"/>
        </w:rPr>
      </w:pPr>
      <w:r>
        <w:rPr>
          <w:rFonts w:hint="eastAsia" w:ascii="宋体" w:hAnsi="宋体" w:eastAsia="宋体" w:cs="宋体"/>
          <w:spacing w:val="1"/>
          <w:sz w:val="24"/>
          <w:szCs w:val="24"/>
        </w:rPr>
        <w:t>应</w:t>
      </w:r>
      <w:r>
        <w:rPr>
          <w:rFonts w:hint="eastAsia" w:ascii="宋体" w:hAnsi="宋体" w:eastAsia="宋体" w:cs="宋体"/>
          <w:spacing w:val="17"/>
          <w:sz w:val="24"/>
          <w:szCs w:val="24"/>
        </w:rPr>
        <w:t>）；</w:t>
      </w:r>
      <w:r>
        <w:rPr>
          <w:rFonts w:hint="eastAsia" w:ascii="宋体" w:hAnsi="宋体" w:eastAsia="宋体" w:cs="宋体"/>
          <w:spacing w:val="1"/>
          <w:sz w:val="24"/>
          <w:szCs w:val="24"/>
        </w:rPr>
        <w:t>电话响应无法解决</w:t>
      </w:r>
      <w:r>
        <w:rPr>
          <w:rFonts w:hint="eastAsia" w:ascii="宋体" w:hAnsi="宋体" w:eastAsia="宋体" w:cs="宋体"/>
          <w:spacing w:val="-17"/>
          <w:sz w:val="24"/>
          <w:szCs w:val="24"/>
        </w:rPr>
        <w:t xml:space="preserve"> </w:t>
      </w:r>
      <w:r>
        <w:rPr>
          <w:rFonts w:hint="eastAsia" w:ascii="宋体" w:hAnsi="宋体" w:eastAsia="宋体" w:cs="宋体"/>
          <w:spacing w:val="1"/>
          <w:sz w:val="24"/>
          <w:szCs w:val="24"/>
        </w:rPr>
        <w:t>2 小时内到达现场。修</w:t>
      </w:r>
      <w:r>
        <w:rPr>
          <w:rFonts w:hint="eastAsia" w:ascii="宋体" w:hAnsi="宋体" w:eastAsia="宋体" w:cs="宋体"/>
          <w:sz w:val="24"/>
          <w:szCs w:val="24"/>
        </w:rPr>
        <w:t>复时间</w:t>
      </w:r>
      <w:r>
        <w:rPr>
          <w:rFonts w:hint="eastAsia" w:ascii="宋体" w:hAnsi="宋体" w:eastAsia="宋体" w:cs="宋体"/>
          <w:spacing w:val="-19"/>
          <w:sz w:val="24"/>
          <w:szCs w:val="24"/>
        </w:rPr>
        <w:t xml:space="preserve"> </w:t>
      </w:r>
      <w:r>
        <w:rPr>
          <w:rFonts w:hint="eastAsia" w:ascii="宋体" w:hAnsi="宋体" w:eastAsia="宋体" w:cs="宋体"/>
          <w:sz w:val="24"/>
          <w:szCs w:val="24"/>
        </w:rPr>
        <w:t>24小时内解决；如在</w:t>
      </w:r>
      <w:r>
        <w:rPr>
          <w:rFonts w:hint="eastAsia" w:ascii="宋体" w:hAnsi="宋体" w:eastAsia="宋体" w:cs="宋体"/>
          <w:spacing w:val="-17"/>
          <w:sz w:val="24"/>
          <w:szCs w:val="24"/>
        </w:rPr>
        <w:t xml:space="preserve"> </w:t>
      </w:r>
      <w:r>
        <w:rPr>
          <w:rFonts w:hint="eastAsia" w:ascii="宋体" w:hAnsi="宋体" w:eastAsia="宋体" w:cs="宋体"/>
          <w:sz w:val="24"/>
          <w:szCs w:val="24"/>
        </w:rPr>
        <w:t xml:space="preserve">72 小时内无法修复，则提供部件冗余服务或采 </w:t>
      </w:r>
      <w:r>
        <w:rPr>
          <w:rFonts w:hint="eastAsia" w:ascii="宋体" w:hAnsi="宋体" w:eastAsia="宋体" w:cs="宋体"/>
          <w:spacing w:val="2"/>
          <w:sz w:val="24"/>
          <w:szCs w:val="24"/>
        </w:rPr>
        <w:t>取应急措施，提供相同产品或不低于故障产品规格档次的备用产品供采购人使用</w:t>
      </w:r>
      <w:r>
        <w:rPr>
          <w:rFonts w:hint="eastAsia" w:ascii="宋体" w:hAnsi="宋体" w:eastAsia="宋体" w:cs="宋体"/>
          <w:spacing w:val="1"/>
          <w:sz w:val="24"/>
          <w:szCs w:val="24"/>
        </w:rPr>
        <w:t>，以确保货物的正常使用。</w:t>
      </w:r>
    </w:p>
    <w:p w14:paraId="3255B968">
      <w:pPr>
        <w:pStyle w:val="2"/>
        <w:keepNext w:val="0"/>
        <w:keepLines w:val="0"/>
        <w:pageBreakBefore w:val="0"/>
        <w:widowControl/>
        <w:wordWrap/>
        <w:overflowPunct/>
        <w:topLinePunct w:val="0"/>
        <w:bidi w:val="0"/>
        <w:spacing w:line="360" w:lineRule="auto"/>
        <w:ind w:left="0" w:right="0" w:firstLine="484" w:firstLineChars="200"/>
        <w:rPr>
          <w:rFonts w:hint="eastAsia" w:ascii="宋体" w:hAnsi="宋体" w:eastAsia="宋体" w:cs="宋体"/>
          <w:sz w:val="24"/>
          <w:szCs w:val="24"/>
        </w:rPr>
      </w:pPr>
      <w:r>
        <w:rPr>
          <w:rFonts w:hint="eastAsia" w:ascii="宋体" w:hAnsi="宋体" w:eastAsia="宋体" w:cs="宋体"/>
          <w:spacing w:val="1"/>
          <w:sz w:val="24"/>
          <w:szCs w:val="24"/>
        </w:rPr>
        <w:t>10）知识产权归属和处理方式：按照本项目合同内容执</w:t>
      </w:r>
      <w:r>
        <w:rPr>
          <w:rFonts w:hint="eastAsia" w:ascii="宋体" w:hAnsi="宋体" w:eastAsia="宋体" w:cs="宋体"/>
          <w:sz w:val="24"/>
          <w:szCs w:val="24"/>
        </w:rPr>
        <w:t>行。</w:t>
      </w:r>
    </w:p>
    <w:p w14:paraId="75FE36B9">
      <w:pPr>
        <w:pStyle w:val="2"/>
        <w:keepNext w:val="0"/>
        <w:keepLines w:val="0"/>
        <w:pageBreakBefore w:val="0"/>
        <w:widowControl/>
        <w:wordWrap/>
        <w:overflowPunct/>
        <w:topLinePunct w:val="0"/>
        <w:bidi w:val="0"/>
        <w:spacing w:line="360" w:lineRule="auto"/>
        <w:ind w:left="0" w:right="0" w:firstLine="484" w:firstLineChars="200"/>
        <w:rPr>
          <w:rFonts w:hint="eastAsia" w:ascii="宋体" w:hAnsi="宋体" w:eastAsia="宋体" w:cs="宋体"/>
          <w:sz w:val="24"/>
          <w:szCs w:val="24"/>
        </w:rPr>
      </w:pPr>
      <w:r>
        <w:rPr>
          <w:rFonts w:hint="eastAsia" w:ascii="宋体" w:hAnsi="宋体" w:eastAsia="宋体" w:cs="宋体"/>
          <w:spacing w:val="1"/>
          <w:sz w:val="24"/>
          <w:szCs w:val="24"/>
        </w:rPr>
        <w:t>11）成本补偿和风险分担约定：按照本项目合同内容执</w:t>
      </w:r>
      <w:r>
        <w:rPr>
          <w:rFonts w:hint="eastAsia" w:ascii="宋体" w:hAnsi="宋体" w:eastAsia="宋体" w:cs="宋体"/>
          <w:sz w:val="24"/>
          <w:szCs w:val="24"/>
        </w:rPr>
        <w:t>行。</w:t>
      </w:r>
    </w:p>
    <w:p w14:paraId="188FE309">
      <w:pPr>
        <w:pStyle w:val="2"/>
        <w:keepNext w:val="0"/>
        <w:keepLines w:val="0"/>
        <w:pageBreakBefore w:val="0"/>
        <w:widowControl/>
        <w:wordWrap/>
        <w:overflowPunct/>
        <w:topLinePunct w:val="0"/>
        <w:bidi w:val="0"/>
        <w:spacing w:line="360" w:lineRule="auto"/>
        <w:ind w:left="0" w:right="0" w:firstLine="484" w:firstLineChars="200"/>
        <w:rPr>
          <w:rFonts w:hint="eastAsia" w:ascii="宋体" w:hAnsi="宋体" w:eastAsia="宋体" w:cs="宋体"/>
          <w:sz w:val="24"/>
          <w:szCs w:val="24"/>
        </w:rPr>
      </w:pPr>
      <w:r>
        <w:rPr>
          <w:rFonts w:hint="eastAsia" w:ascii="宋体" w:hAnsi="宋体" w:eastAsia="宋体" w:cs="宋体"/>
          <w:spacing w:val="1"/>
          <w:sz w:val="24"/>
          <w:szCs w:val="24"/>
        </w:rPr>
        <w:t>12）违约责任与解决争议的方法：按照本项目合同内容执行。</w:t>
      </w:r>
    </w:p>
    <w:p w14:paraId="22D8830D">
      <w:pPr>
        <w:pStyle w:val="2"/>
        <w:keepNext w:val="0"/>
        <w:keepLines w:val="0"/>
        <w:pageBreakBefore w:val="0"/>
        <w:widowControl/>
        <w:wordWrap/>
        <w:overflowPunct/>
        <w:topLinePunct w:val="0"/>
        <w:bidi w:val="0"/>
        <w:spacing w:line="360" w:lineRule="auto"/>
        <w:ind w:left="0" w:right="0" w:firstLine="476" w:firstLineChars="200"/>
        <w:rPr>
          <w:rFonts w:hint="eastAsia" w:ascii="宋体" w:hAnsi="宋体" w:eastAsia="宋体" w:cs="宋体"/>
          <w:sz w:val="24"/>
          <w:szCs w:val="24"/>
        </w:rPr>
      </w:pPr>
      <w:r>
        <w:rPr>
          <w:rFonts w:hint="eastAsia" w:ascii="宋体" w:hAnsi="宋体" w:eastAsia="宋体" w:cs="宋体"/>
          <w:spacing w:val="-1"/>
          <w:sz w:val="24"/>
          <w:szCs w:val="24"/>
        </w:rPr>
        <w:t>13）合同其他条款：/</w:t>
      </w:r>
    </w:p>
    <w:p w14:paraId="159DD907">
      <w:pPr>
        <w:pStyle w:val="2"/>
        <w:keepNext w:val="0"/>
        <w:keepLines w:val="0"/>
        <w:pageBreakBefore w:val="0"/>
        <w:widowControl/>
        <w:wordWrap/>
        <w:overflowPunct/>
        <w:topLinePunct w:val="0"/>
        <w:bidi w:val="0"/>
        <w:spacing w:line="360" w:lineRule="auto"/>
        <w:ind w:left="0" w:right="0" w:firstLine="476" w:firstLineChars="200"/>
        <w:rPr>
          <w:rFonts w:hint="eastAsia" w:ascii="宋体" w:hAnsi="宋体" w:eastAsia="宋体" w:cs="宋体"/>
          <w:sz w:val="24"/>
          <w:szCs w:val="24"/>
        </w:rPr>
      </w:pPr>
      <w:r>
        <w:rPr>
          <w:rFonts w:hint="eastAsia" w:ascii="宋体" w:hAnsi="宋体" w:eastAsia="宋体" w:cs="宋体"/>
          <w:spacing w:val="-1"/>
          <w:sz w:val="24"/>
          <w:szCs w:val="24"/>
        </w:rPr>
        <w:t>11、履约验收方案</w:t>
      </w:r>
    </w:p>
    <w:p w14:paraId="497CA18A">
      <w:pPr>
        <w:pStyle w:val="2"/>
        <w:keepNext w:val="0"/>
        <w:keepLines w:val="0"/>
        <w:pageBreakBefore w:val="0"/>
        <w:widowControl/>
        <w:wordWrap/>
        <w:overflowPunct/>
        <w:topLinePunct w:val="0"/>
        <w:bidi w:val="0"/>
        <w:spacing w:line="360" w:lineRule="auto"/>
        <w:ind w:left="0" w:right="0" w:firstLine="468" w:firstLineChars="200"/>
        <w:rPr>
          <w:rFonts w:hint="eastAsia" w:ascii="宋体" w:hAnsi="宋体" w:eastAsia="宋体" w:cs="宋体"/>
          <w:sz w:val="24"/>
          <w:szCs w:val="24"/>
        </w:rPr>
      </w:pPr>
      <w:r>
        <w:rPr>
          <w:rFonts w:hint="eastAsia" w:ascii="宋体" w:hAnsi="宋体" w:eastAsia="宋体" w:cs="宋体"/>
          <w:spacing w:val="-3"/>
          <w:sz w:val="24"/>
          <w:szCs w:val="24"/>
        </w:rPr>
        <w:t>1）验收组织方式：</w:t>
      </w:r>
      <w:r>
        <w:rPr>
          <w:rFonts w:hint="eastAsia" w:ascii="宋体" w:hAnsi="宋体" w:eastAsia="宋体" w:cs="宋体"/>
          <w:spacing w:val="-55"/>
          <w:sz w:val="24"/>
          <w:szCs w:val="24"/>
        </w:rPr>
        <w:t xml:space="preserve"> </w:t>
      </w:r>
      <w:r>
        <w:rPr>
          <w:rFonts w:hint="eastAsia" w:ascii="宋体" w:hAnsi="宋体" w:eastAsia="宋体" w:cs="宋体"/>
          <w:spacing w:val="-3"/>
          <w:sz w:val="24"/>
          <w:szCs w:val="24"/>
        </w:rPr>
        <w:t>自行验收</w:t>
      </w:r>
    </w:p>
    <w:p w14:paraId="00E5CF9A">
      <w:pPr>
        <w:pStyle w:val="2"/>
        <w:keepNext w:val="0"/>
        <w:keepLines w:val="0"/>
        <w:pageBreakBefore w:val="0"/>
        <w:widowControl/>
        <w:wordWrap/>
        <w:overflowPunct/>
        <w:topLinePunct w:val="0"/>
        <w:bidi w:val="0"/>
        <w:spacing w:line="360" w:lineRule="auto"/>
        <w:ind w:left="0" w:right="0" w:firstLine="484" w:firstLineChars="200"/>
        <w:rPr>
          <w:rFonts w:hint="eastAsia" w:ascii="宋体" w:hAnsi="宋体" w:eastAsia="宋体" w:cs="宋体"/>
          <w:sz w:val="24"/>
          <w:szCs w:val="24"/>
        </w:rPr>
      </w:pPr>
      <w:r>
        <w:rPr>
          <w:rFonts w:hint="eastAsia" w:ascii="宋体" w:hAnsi="宋体" w:eastAsia="宋体" w:cs="宋体"/>
          <w:spacing w:val="1"/>
          <w:sz w:val="24"/>
          <w:szCs w:val="24"/>
        </w:rPr>
        <w:t>2）是否邀请本项目的其他供应商：否</w:t>
      </w:r>
    </w:p>
    <w:p w14:paraId="2D16125C">
      <w:pPr>
        <w:pStyle w:val="2"/>
        <w:keepNext w:val="0"/>
        <w:keepLines w:val="0"/>
        <w:pageBreakBefore w:val="0"/>
        <w:widowControl/>
        <w:wordWrap/>
        <w:overflowPunct/>
        <w:topLinePunct w:val="0"/>
        <w:bidi w:val="0"/>
        <w:spacing w:line="360" w:lineRule="auto"/>
        <w:ind w:left="0" w:right="0" w:firstLine="484" w:firstLineChars="200"/>
        <w:rPr>
          <w:rFonts w:hint="eastAsia" w:ascii="宋体" w:hAnsi="宋体" w:eastAsia="宋体" w:cs="宋体"/>
          <w:sz w:val="24"/>
          <w:szCs w:val="24"/>
        </w:rPr>
      </w:pPr>
      <w:r>
        <w:rPr>
          <w:rFonts w:hint="eastAsia" w:ascii="宋体" w:hAnsi="宋体" w:eastAsia="宋体" w:cs="宋体"/>
          <w:spacing w:val="1"/>
          <w:sz w:val="24"/>
          <w:szCs w:val="24"/>
        </w:rPr>
        <w:t>3）是否邀请专家：是</w:t>
      </w:r>
    </w:p>
    <w:p w14:paraId="08A28A6A">
      <w:pPr>
        <w:pStyle w:val="2"/>
        <w:keepNext w:val="0"/>
        <w:keepLines w:val="0"/>
        <w:pageBreakBefore w:val="0"/>
        <w:widowControl/>
        <w:wordWrap/>
        <w:overflowPunct/>
        <w:topLinePunct w:val="0"/>
        <w:bidi w:val="0"/>
        <w:spacing w:line="360" w:lineRule="auto"/>
        <w:ind w:left="0" w:right="0" w:firstLine="484" w:firstLineChars="200"/>
        <w:rPr>
          <w:rFonts w:hint="eastAsia" w:ascii="宋体" w:hAnsi="宋体" w:eastAsia="宋体" w:cs="宋体"/>
          <w:sz w:val="24"/>
          <w:szCs w:val="24"/>
        </w:rPr>
      </w:pPr>
      <w:r>
        <w:rPr>
          <w:rFonts w:hint="eastAsia" w:ascii="宋体" w:hAnsi="宋体" w:eastAsia="宋体" w:cs="宋体"/>
          <w:spacing w:val="1"/>
          <w:sz w:val="24"/>
          <w:szCs w:val="24"/>
        </w:rPr>
        <w:t>4）是否邀请服务对象：是</w:t>
      </w:r>
    </w:p>
    <w:p w14:paraId="456A753A">
      <w:pPr>
        <w:pStyle w:val="2"/>
        <w:keepNext w:val="0"/>
        <w:keepLines w:val="0"/>
        <w:pageBreakBefore w:val="0"/>
        <w:widowControl/>
        <w:wordWrap/>
        <w:overflowPunct/>
        <w:topLinePunct w:val="0"/>
        <w:bidi w:val="0"/>
        <w:spacing w:line="360" w:lineRule="auto"/>
        <w:ind w:left="0" w:right="0" w:firstLine="484" w:firstLineChars="200"/>
        <w:rPr>
          <w:rFonts w:hint="eastAsia" w:ascii="宋体" w:hAnsi="宋体" w:eastAsia="宋体" w:cs="宋体"/>
          <w:sz w:val="24"/>
          <w:szCs w:val="24"/>
        </w:rPr>
      </w:pPr>
      <w:r>
        <w:rPr>
          <w:rFonts w:hint="eastAsia" w:ascii="宋体" w:hAnsi="宋体" w:eastAsia="宋体" w:cs="宋体"/>
          <w:spacing w:val="1"/>
          <w:sz w:val="24"/>
          <w:szCs w:val="24"/>
        </w:rPr>
        <w:t>5）是否邀请第三方检测机构：否</w:t>
      </w:r>
    </w:p>
    <w:p w14:paraId="21EC7750">
      <w:pPr>
        <w:pStyle w:val="2"/>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6）履约验收程序：一次性验收</w:t>
      </w:r>
    </w:p>
    <w:p w14:paraId="115F52E7">
      <w:pPr>
        <w:pStyle w:val="2"/>
        <w:keepNext w:val="0"/>
        <w:keepLines w:val="0"/>
        <w:pageBreakBefore w:val="0"/>
        <w:widowControl/>
        <w:wordWrap/>
        <w:overflowPunct/>
        <w:topLinePunct w:val="0"/>
        <w:bidi w:val="0"/>
        <w:spacing w:line="360" w:lineRule="auto"/>
        <w:ind w:left="0" w:right="0" w:firstLine="476" w:firstLineChars="200"/>
        <w:rPr>
          <w:rFonts w:hint="eastAsia" w:ascii="宋体" w:hAnsi="宋体" w:eastAsia="宋体" w:cs="宋体"/>
          <w:sz w:val="24"/>
          <w:szCs w:val="24"/>
        </w:rPr>
      </w:pPr>
      <w:r>
        <w:rPr>
          <w:rFonts w:hint="eastAsia" w:ascii="宋体" w:hAnsi="宋体" w:eastAsia="宋体" w:cs="宋体"/>
          <w:spacing w:val="-1"/>
          <w:sz w:val="24"/>
          <w:szCs w:val="24"/>
        </w:rPr>
        <w:t>7）履约验收时间：</w:t>
      </w:r>
    </w:p>
    <w:p w14:paraId="183D74CA">
      <w:pPr>
        <w:pStyle w:val="2"/>
        <w:keepNext w:val="0"/>
        <w:keepLines w:val="0"/>
        <w:pageBreakBefore w:val="0"/>
        <w:widowControl/>
        <w:wordWrap/>
        <w:overflowPunct/>
        <w:topLinePunct w:val="0"/>
        <w:bidi w:val="0"/>
        <w:spacing w:line="360" w:lineRule="auto"/>
        <w:ind w:left="0" w:right="0" w:firstLine="484" w:firstLineChars="200"/>
        <w:rPr>
          <w:rFonts w:hint="eastAsia" w:ascii="宋体" w:hAnsi="宋体" w:eastAsia="宋体" w:cs="宋体"/>
          <w:sz w:val="24"/>
          <w:szCs w:val="24"/>
        </w:rPr>
      </w:pPr>
      <w:r>
        <w:rPr>
          <w:rFonts w:hint="eastAsia" w:ascii="宋体" w:hAnsi="宋体" w:eastAsia="宋体" w:cs="宋体"/>
          <w:spacing w:val="1"/>
          <w:sz w:val="24"/>
          <w:szCs w:val="24"/>
        </w:rPr>
        <w:t>供应商提出验收申请之日起30日内组织验收</w:t>
      </w:r>
    </w:p>
    <w:p w14:paraId="43E7EB3B">
      <w:pPr>
        <w:pStyle w:val="2"/>
        <w:keepNext w:val="0"/>
        <w:keepLines w:val="0"/>
        <w:pageBreakBefore w:val="0"/>
        <w:widowControl/>
        <w:wordWrap/>
        <w:overflowPunct/>
        <w:topLinePunct w:val="0"/>
        <w:bidi w:val="0"/>
        <w:spacing w:line="360" w:lineRule="auto"/>
        <w:ind w:left="0" w:right="0" w:firstLine="484" w:firstLineChars="200"/>
        <w:rPr>
          <w:rFonts w:hint="eastAsia" w:ascii="宋体" w:hAnsi="宋体" w:eastAsia="宋体" w:cs="宋体"/>
          <w:sz w:val="24"/>
          <w:szCs w:val="24"/>
        </w:rPr>
      </w:pPr>
      <w:r>
        <w:rPr>
          <w:rFonts w:hint="eastAsia" w:ascii="宋体" w:hAnsi="宋体" w:eastAsia="宋体" w:cs="宋体"/>
          <w:spacing w:val="1"/>
          <w:sz w:val="24"/>
          <w:szCs w:val="24"/>
        </w:rPr>
        <w:t>8）验收组织的其他事项：按照本项目合同内容执行。</w:t>
      </w:r>
    </w:p>
    <w:p w14:paraId="25DE8227">
      <w:pPr>
        <w:pStyle w:val="2"/>
        <w:keepNext w:val="0"/>
        <w:keepLines w:val="0"/>
        <w:pageBreakBefore w:val="0"/>
        <w:widowControl/>
        <w:wordWrap/>
        <w:overflowPunct/>
        <w:topLinePunct w:val="0"/>
        <w:bidi w:val="0"/>
        <w:spacing w:line="360" w:lineRule="auto"/>
        <w:ind w:left="0" w:right="0" w:firstLine="484" w:firstLineChars="200"/>
        <w:rPr>
          <w:rFonts w:hint="eastAsia" w:ascii="宋体" w:hAnsi="宋体" w:eastAsia="宋体" w:cs="宋体"/>
          <w:sz w:val="24"/>
          <w:szCs w:val="24"/>
        </w:rPr>
      </w:pPr>
      <w:r>
        <w:rPr>
          <w:rFonts w:hint="eastAsia" w:ascii="宋体" w:hAnsi="宋体" w:eastAsia="宋体" w:cs="宋体"/>
          <w:spacing w:val="1"/>
          <w:sz w:val="24"/>
          <w:szCs w:val="24"/>
        </w:rPr>
        <w:t>9）技术履约验收内容：按照本项目合同内容执行。</w:t>
      </w:r>
    </w:p>
    <w:p w14:paraId="43192984">
      <w:pPr>
        <w:pStyle w:val="2"/>
        <w:keepNext w:val="0"/>
        <w:keepLines w:val="0"/>
        <w:pageBreakBefore w:val="0"/>
        <w:widowControl/>
        <w:wordWrap/>
        <w:overflowPunct/>
        <w:topLinePunct w:val="0"/>
        <w:bidi w:val="0"/>
        <w:spacing w:line="360" w:lineRule="auto"/>
        <w:ind w:left="0" w:right="0" w:firstLine="484" w:firstLineChars="200"/>
        <w:rPr>
          <w:rFonts w:hint="eastAsia" w:ascii="宋体" w:hAnsi="宋体" w:eastAsia="宋体" w:cs="宋体"/>
          <w:sz w:val="24"/>
          <w:szCs w:val="24"/>
        </w:rPr>
      </w:pPr>
      <w:r>
        <w:rPr>
          <w:rFonts w:hint="eastAsia" w:ascii="宋体" w:hAnsi="宋体" w:eastAsia="宋体" w:cs="宋体"/>
          <w:spacing w:val="1"/>
          <w:sz w:val="24"/>
          <w:szCs w:val="24"/>
        </w:rPr>
        <w:t>10）商务履约验收内容：按照本项目合同</w:t>
      </w:r>
      <w:r>
        <w:rPr>
          <w:rFonts w:hint="eastAsia" w:ascii="宋体" w:hAnsi="宋体" w:eastAsia="宋体" w:cs="宋体"/>
          <w:sz w:val="24"/>
          <w:szCs w:val="24"/>
        </w:rPr>
        <w:t>内容执行。</w:t>
      </w:r>
    </w:p>
    <w:p w14:paraId="092ADE4E">
      <w:pPr>
        <w:pStyle w:val="2"/>
        <w:keepNext w:val="0"/>
        <w:keepLines w:val="0"/>
        <w:pageBreakBefore w:val="0"/>
        <w:widowControl/>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11）履约验收标准：按照本项目合同内容执行。</w:t>
      </w:r>
    </w:p>
    <w:p w14:paraId="34728B88">
      <w:pPr>
        <w:pStyle w:val="2"/>
        <w:keepNext w:val="0"/>
        <w:keepLines w:val="0"/>
        <w:pageBreakBefore w:val="0"/>
        <w:widowControl/>
        <w:wordWrap/>
        <w:overflowPunct/>
        <w:topLinePunct w:val="0"/>
        <w:bidi w:val="0"/>
        <w:spacing w:line="360" w:lineRule="auto"/>
        <w:ind w:left="0" w:right="0" w:firstLine="484" w:firstLineChars="200"/>
        <w:rPr>
          <w:rFonts w:hint="eastAsia" w:ascii="宋体" w:hAnsi="宋体" w:eastAsia="宋体" w:cs="宋体"/>
          <w:sz w:val="24"/>
          <w:szCs w:val="24"/>
        </w:rPr>
      </w:pPr>
      <w:r>
        <w:rPr>
          <w:rFonts w:hint="eastAsia" w:ascii="宋体" w:hAnsi="宋体" w:eastAsia="宋体" w:cs="宋体"/>
          <w:spacing w:val="1"/>
          <w:sz w:val="24"/>
          <w:szCs w:val="24"/>
        </w:rPr>
        <w:t>12）履约验收其他事项：按照本项目合同</w:t>
      </w:r>
      <w:r>
        <w:rPr>
          <w:rFonts w:hint="eastAsia" w:ascii="宋体" w:hAnsi="宋体" w:eastAsia="宋体" w:cs="宋体"/>
          <w:sz w:val="24"/>
          <w:szCs w:val="24"/>
        </w:rPr>
        <w:t>内容执行。</w:t>
      </w:r>
    </w:p>
    <w:p w14:paraId="03857C6F">
      <w:pPr>
        <w:pStyle w:val="2"/>
        <w:keepNext w:val="0"/>
        <w:keepLines w:val="0"/>
        <w:pageBreakBefore w:val="0"/>
        <w:widowControl/>
        <w:wordWrap/>
        <w:overflowPunct/>
        <w:topLinePunct w:val="0"/>
        <w:bidi w:val="0"/>
        <w:spacing w:line="360" w:lineRule="auto"/>
        <w:ind w:left="0" w:right="0" w:firstLine="500" w:firstLineChars="200"/>
        <w:outlineLvl w:val="0"/>
        <w:rPr>
          <w:rFonts w:hint="eastAsia" w:ascii="宋体" w:hAnsi="宋体" w:eastAsia="宋体" w:cs="宋体"/>
          <w:sz w:val="24"/>
          <w:szCs w:val="24"/>
        </w:rPr>
      </w:pPr>
      <w:r>
        <w:rPr>
          <w:rFonts w:hint="eastAsia" w:ascii="宋体" w:hAnsi="宋体" w:eastAsia="宋体" w:cs="宋体"/>
          <w:spacing w:val="5"/>
          <w:sz w:val="24"/>
          <w:szCs w:val="24"/>
        </w:rPr>
        <w:t>五、风险控制措施和替代方案</w:t>
      </w:r>
    </w:p>
    <w:p w14:paraId="3FD68AB2">
      <w:pPr>
        <w:pStyle w:val="2"/>
        <w:keepNext w:val="0"/>
        <w:keepLines w:val="0"/>
        <w:pageBreakBefore w:val="0"/>
        <w:widowControl/>
        <w:wordWrap/>
        <w:overflowPunct/>
        <w:topLinePunct w:val="0"/>
        <w:bidi w:val="0"/>
        <w:spacing w:line="360" w:lineRule="auto"/>
        <w:ind w:left="0" w:right="0" w:firstLine="488" w:firstLineChars="200"/>
        <w:rPr>
          <w:rFonts w:hint="eastAsia" w:ascii="宋体" w:hAnsi="宋体" w:eastAsia="宋体" w:cs="宋体"/>
          <w:sz w:val="24"/>
          <w:szCs w:val="24"/>
        </w:rPr>
      </w:pPr>
      <w:r>
        <w:rPr>
          <w:rFonts w:hint="eastAsia" w:ascii="宋体" w:hAnsi="宋体" w:eastAsia="宋体" w:cs="宋体"/>
          <w:spacing w:val="2"/>
          <w:sz w:val="24"/>
          <w:szCs w:val="24"/>
        </w:rPr>
        <w:t>该采购项目按照《政府采购需求管理办法》第二十五条规定，本项目是否需要组织风险判断</w:t>
      </w:r>
      <w:r>
        <w:rPr>
          <w:rFonts w:hint="eastAsia" w:ascii="宋体" w:hAnsi="宋体" w:eastAsia="宋体" w:cs="宋体"/>
          <w:spacing w:val="1"/>
          <w:sz w:val="24"/>
          <w:szCs w:val="24"/>
        </w:rPr>
        <w:t>、提出处置措施和替代方</w:t>
      </w:r>
      <w:r>
        <w:rPr>
          <w:rFonts w:hint="eastAsia" w:ascii="宋体" w:hAnsi="宋体" w:eastAsia="宋体" w:cs="宋体"/>
          <w:sz w:val="24"/>
          <w:szCs w:val="24"/>
        </w:rPr>
        <w:t xml:space="preserve"> </w:t>
      </w:r>
      <w:r>
        <w:rPr>
          <w:rFonts w:hint="eastAsia" w:ascii="宋体" w:hAnsi="宋体" w:eastAsia="宋体" w:cs="宋体"/>
          <w:spacing w:val="2"/>
          <w:sz w:val="24"/>
          <w:szCs w:val="24"/>
        </w:rPr>
        <w:t>案：否</w:t>
      </w:r>
    </w:p>
    <w:sectPr>
      <w:footerReference r:id="rId6" w:type="default"/>
      <w:pgSz w:w="11900" w:h="16840"/>
      <w:pgMar w:top="618" w:right="768" w:bottom="276" w:left="671" w:header="624" w:footer="62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cida Sans Unicode">
    <w:panose1 w:val="020B0602030504020204"/>
    <w:charset w:val="00"/>
    <w:family w:val="auto"/>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B146C1">
    <w:pPr>
      <w:spacing w:line="173" w:lineRule="auto"/>
      <w:ind w:left="3771"/>
      <w:rPr>
        <w:rFonts w:ascii="Lucida Sans Unicode" w:hAnsi="Lucida Sans Unicode" w:eastAsia="Lucida Sans Unicode" w:cs="Lucida Sans Unicode"/>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176A88">
    <w:pPr>
      <w:pStyle w:val="2"/>
      <w:spacing w:line="173" w:lineRule="auto"/>
      <w:ind w:left="4884"/>
      <w:rPr>
        <w:rFonts w:ascii="Lucida Sans Unicode" w:hAnsi="Lucida Sans Unicode" w:eastAsia="Lucida Sans Unicode" w:cs="Lucida Sans Unicode"/>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0AC4449"/>
    <w:rsid w:val="11C72359"/>
    <w:rsid w:val="2A6904E4"/>
    <w:rsid w:val="389C3ADD"/>
    <w:rsid w:val="42CC0AD3"/>
    <w:rsid w:val="7D0C683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19"/>
      <w:szCs w:val="19"/>
      <w:lang w:val="en-US" w:eastAsia="en-US"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sz w:val="19"/>
      <w:szCs w:val="19"/>
      <w:lang w:val="en-US" w:eastAsia="en-US" w:bidi="ar-SA"/>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13</Pages>
  <Words>3924</Words>
  <Characters>4447</Characters>
  <TotalTime>2</TotalTime>
  <ScaleCrop>false</ScaleCrop>
  <LinksUpToDate>false</LinksUpToDate>
  <CharactersWithSpaces>4547</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2025-06-03T09:19:00Z</dcterms:created>
  <dc:creator>dell</dc:creator>
  <cp:lastModifiedBy>W</cp:lastModifiedBy>
  <dcterms:modified xsi:type="dcterms:W3CDTF">2025-06-24T08:44:59Z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2025-06-04T15:55:44Z</vt:filetime>
  </property>
  <property fmtid="{D5CDD505-2E9C-101B-9397-08002B2CF9AE}" pid="4" name="KSOTemplateDocerSaveRecord">
    <vt:lpwstr>eyJoZGlkIjoiYmNhMWExYTExNWE4YjUxOTNiNmI5NTYwOWZmNjZlYjkiLCJ1c2VySWQiOiI5MzQxODUwOTkifQ==</vt:lpwstr>
  </property>
  <property fmtid="{D5CDD505-2E9C-101B-9397-08002B2CF9AE}" pid="5" name="KSOProductBuildVer">
    <vt:lpwstr>2052-12.1.0.21171</vt:lpwstr>
  </property>
  <property fmtid="{D5CDD505-2E9C-101B-9397-08002B2CF9AE}" pid="6" name="ICV">
    <vt:lpwstr>5C17AE66902B4E1D8A9ED52D0A07B1F5_12</vt:lpwstr>
  </property>
</Properties>
</file>