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版本号：SXWXZBDL2025-ZC-CS100620250624001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五三三处二期地块实施详细规划及规划条件编制项目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SXWXZBDL2025-ZC-CS1006</w:t>
      </w:r>
      <w:r>
        <w:br/>
      </w:r>
      <w:r>
        <w:br/>
      </w:r>
      <w:r>
        <w:br/>
      </w:r>
    </w:p>
    <w:p>
      <w:pPr>
        <w:pStyle w:val="null3"/>
        <w:jc w:val="center"/>
        <w:outlineLvl w:val="2"/>
      </w:pPr>
      <w:r>
        <w:rPr>
          <w:rFonts w:ascii="仿宋_GB2312" w:hAnsi="仿宋_GB2312" w:cs="仿宋_GB2312" w:eastAsia="仿宋_GB2312"/>
          <w:sz w:val="28"/>
          <w:b/>
        </w:rPr>
        <w:t>西安大兴新区开发建设管理委员会</w:t>
      </w:r>
    </w:p>
    <w:p>
      <w:pPr>
        <w:pStyle w:val="null3"/>
        <w:jc w:val="center"/>
        <w:outlineLvl w:val="2"/>
      </w:pPr>
      <w:r>
        <w:rPr>
          <w:rFonts w:ascii="仿宋_GB2312" w:hAnsi="仿宋_GB2312" w:cs="仿宋_GB2312" w:eastAsia="仿宋_GB2312"/>
          <w:sz w:val="28"/>
          <w:b/>
        </w:rPr>
        <w:t>陕西万兴招标代理有限公司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陕西万兴招标代理有限公司</w:t>
      </w:r>
      <w:r>
        <w:rPr>
          <w:rFonts w:ascii="仿宋_GB2312" w:hAnsi="仿宋_GB2312" w:cs="仿宋_GB2312" w:eastAsia="仿宋_GB2312"/>
        </w:rPr>
        <w:t>（以下简称“代理机构”）受</w:t>
      </w:r>
      <w:r>
        <w:rPr>
          <w:rFonts w:ascii="仿宋_GB2312" w:hAnsi="仿宋_GB2312" w:cs="仿宋_GB2312" w:eastAsia="仿宋_GB2312"/>
        </w:rPr>
        <w:t>西安大兴新区开发建设管理委员会</w:t>
      </w:r>
      <w:r>
        <w:rPr>
          <w:rFonts w:ascii="仿宋_GB2312" w:hAnsi="仿宋_GB2312" w:cs="仿宋_GB2312" w:eastAsia="仿宋_GB2312"/>
        </w:rPr>
        <w:t>委托，拟对</w:t>
      </w:r>
      <w:r>
        <w:rPr>
          <w:rFonts w:ascii="仿宋_GB2312" w:hAnsi="仿宋_GB2312" w:cs="仿宋_GB2312" w:eastAsia="仿宋_GB2312"/>
        </w:rPr>
        <w:t>五三三处二期地块实施详细规划及规划条件编制项目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SXWXZBDL2025-ZC-CS1006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五三三处二期地块实施详细规划及规划条件编制项目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采购委托编制单位编制地块实施详细规划，包含供地方案及总平面设计等，同时完成协助核提规划设计条件的相关工作。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营业执照/事业单位法人证书/专业服务机构执业许可证/民办非企业单位登记证书等相关证明，自然人参与的提供其身份证明；</w:t>
      </w:r>
    </w:p>
    <w:p>
      <w:pPr>
        <w:pStyle w:val="null3"/>
      </w:pPr>
      <w:r>
        <w:rPr>
          <w:rFonts w:ascii="仿宋_GB2312" w:hAnsi="仿宋_GB2312" w:cs="仿宋_GB2312" w:eastAsia="仿宋_GB2312"/>
        </w:rPr>
        <w:t>2、供应商应提供健全的财务会计制度的证明材料：提供2023年度或2024年度经审计的完整财务报告（成立时间至提交磋商文件截止时间不足一年的可提供成立后任意时段的资产负债表）或磋商截止日前六个月内基本存款账户开户银行出具的资信证明（附开户许可证或开户证明）；</w:t>
      </w:r>
    </w:p>
    <w:p>
      <w:pPr>
        <w:pStyle w:val="null3"/>
      </w:pPr>
      <w:r>
        <w:rPr>
          <w:rFonts w:ascii="仿宋_GB2312" w:hAnsi="仿宋_GB2312" w:cs="仿宋_GB2312" w:eastAsia="仿宋_GB2312"/>
        </w:rPr>
        <w:t>3、纳税证明：提供磋商截止日前六个月内任意一个月的纳税证明或完税证明（增值税、印花税、城市维护建设费、企业所得税等一种或多种税种），依法免税的单位提供相关证明材料；</w:t>
      </w:r>
    </w:p>
    <w:p>
      <w:pPr>
        <w:pStyle w:val="null3"/>
      </w:pPr>
      <w:r>
        <w:rPr>
          <w:rFonts w:ascii="仿宋_GB2312" w:hAnsi="仿宋_GB2312" w:cs="仿宋_GB2312" w:eastAsia="仿宋_GB2312"/>
        </w:rPr>
        <w:t>4、社保缴纳证明：提供磋商截止日前六个月内任意一个月的社保资金交纳证明，依法不需要缴纳社保资金的单位提供相关证明材料；</w:t>
      </w:r>
    </w:p>
    <w:p>
      <w:pPr>
        <w:pStyle w:val="null3"/>
      </w:pPr>
      <w:r>
        <w:rPr>
          <w:rFonts w:ascii="仿宋_GB2312" w:hAnsi="仿宋_GB2312" w:cs="仿宋_GB2312" w:eastAsia="仿宋_GB2312"/>
        </w:rPr>
        <w:t>5、三年内无重大违法记录：参加本次政府采购活动前三年内在经营活动中没有重大违法记录的书面声明；</w:t>
      </w:r>
    </w:p>
    <w:p>
      <w:pPr>
        <w:pStyle w:val="null3"/>
      </w:pPr>
      <w:r>
        <w:rPr>
          <w:rFonts w:ascii="仿宋_GB2312" w:hAnsi="仿宋_GB2312" w:cs="仿宋_GB2312" w:eastAsia="仿宋_GB2312"/>
        </w:rPr>
        <w:t>6、专业技术能力承诺：提供具有履行合同所必需的设备和专业技术能力的承诺；</w:t>
      </w:r>
    </w:p>
    <w:p>
      <w:pPr>
        <w:pStyle w:val="null3"/>
      </w:pPr>
      <w:r>
        <w:rPr>
          <w:rFonts w:ascii="仿宋_GB2312" w:hAnsi="仿宋_GB2312" w:cs="仿宋_GB2312" w:eastAsia="仿宋_GB2312"/>
        </w:rPr>
        <w:t>7、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构将拒绝其参与政府采购活动，查询结果以纸质方式留存。）；</w:t>
      </w:r>
    </w:p>
    <w:p>
      <w:pPr>
        <w:pStyle w:val="null3"/>
      </w:pPr>
      <w:r>
        <w:rPr>
          <w:rFonts w:ascii="仿宋_GB2312" w:hAnsi="仿宋_GB2312" w:cs="仿宋_GB2312" w:eastAsia="仿宋_GB2312"/>
        </w:rPr>
        <w:t>8、法定代表人授权书：法定代表人授权书（附法定代表人、被授权人身份证复印件），法定代表人直接参加磋商，须提供法定代表人身份证明；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9、企业关系关联承诺书：提供企业关系关联承诺书；</w:t>
      </w:r>
    </w:p>
    <w:p>
      <w:pPr>
        <w:pStyle w:val="null3"/>
      </w:pPr>
      <w:r>
        <w:rPr>
          <w:rFonts w:ascii="仿宋_GB2312" w:hAnsi="仿宋_GB2312" w:cs="仿宋_GB2312" w:eastAsia="仿宋_GB2312"/>
        </w:rPr>
        <w:t>10、资质证书：供应商须具有城乡规划编制乙级及以上资质证书；</w:t>
      </w:r>
    </w:p>
    <w:p>
      <w:pPr>
        <w:pStyle w:val="null3"/>
      </w:pPr>
      <w:r>
        <w:rPr>
          <w:rFonts w:ascii="仿宋_GB2312" w:hAnsi="仿宋_GB2312" w:cs="仿宋_GB2312" w:eastAsia="仿宋_GB2312"/>
        </w:rPr>
        <w:t>11、联合体：本项目不接受联合体磋商。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西安大兴新区开发建设管理委员会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陕西省西安市莲湖区沣惠北路123号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强老师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029-82591551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陕西万兴招标代理有限公司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陕西省西安市莲湖区北关正街35号方兴大厦4-018室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张小娜、董雪、李玉萍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029-89627187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计委颁发的《招标代理服务收费管理暂行办法》（计价格[2002]1980号）和国家发展和改革委员会办公厅颁发的《关于招标代理服务收费有关问题的通知》（发改办价格[2003]857号）的有关规定执行下浮10%计取。2.成交单位在领取成交通知书前，须向采购代理机构一次性支付招标代理服务费。3.招标代理服务费交纳信息：户名：陕西万兴招标代理有限公司开户行：北京银行股份有限公司西安大明宫支行账号：20000034467500016437653请成交供应商按照要求将招标代理服务费汇入以上指定账户，如因自身原因发生错误，产生的不利后果均由成交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西安大兴新区开发建设管理委员会</w:t>
      </w:r>
      <w:r>
        <w:rPr>
          <w:rFonts w:ascii="仿宋_GB2312" w:hAnsi="仿宋_GB2312" w:cs="仿宋_GB2312" w:eastAsia="仿宋_GB2312"/>
        </w:rPr>
        <w:t>和</w:t>
      </w:r>
      <w:r>
        <w:rPr>
          <w:rFonts w:ascii="仿宋_GB2312" w:hAnsi="仿宋_GB2312" w:cs="仿宋_GB2312" w:eastAsia="仿宋_GB2312"/>
        </w:rPr>
        <w:t>陕西万兴招标代理有限公司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西安大兴新区开发建设管理委员会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陕西万兴招标代理有限公司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西安大兴新区开发建设管理委员会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陕西万兴招标代理有限公司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陕西万兴招标代理有限公司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陕西万兴招标代理有限公司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陕西万兴招标代理有限公司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联系人：李玉萍</w:t>
      </w:r>
    </w:p>
    <w:p>
      <w:pPr>
        <w:pStyle w:val="null3"/>
      </w:pPr>
      <w:r>
        <w:rPr>
          <w:rFonts w:ascii="仿宋_GB2312" w:hAnsi="仿宋_GB2312" w:cs="仿宋_GB2312" w:eastAsia="仿宋_GB2312"/>
        </w:rPr>
        <w:t>联系电话：029-89627187</w:t>
      </w:r>
    </w:p>
    <w:p>
      <w:pPr>
        <w:pStyle w:val="null3"/>
      </w:pPr>
      <w:r>
        <w:rPr>
          <w:rFonts w:ascii="仿宋_GB2312" w:hAnsi="仿宋_GB2312" w:cs="仿宋_GB2312" w:eastAsia="仿宋_GB2312"/>
        </w:rPr>
        <w:t>地址：陕西省西安市莲湖区北关正街35号方兴大厦4-018室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确保五三三处二期LH-06-15-04-01、LH-06-15-04-02、LH-06-15-06供应前顺利取得规划条件，LH-06-15-05出具规划意见，拟启动五三三处二期LH-06-15-04-01、LH-06-15-04-02、LH-06-15-05、LH-06-15-06四个地块实施详细规划编制服务项目的政府采购工作，现需要采购委托编制单位编制地块实施详细规划，包含供地方案及总平面设计等，同时完成协助核提规划设计条件的相关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547,064.00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五三三处二期地块实施详细规划及规划条件编制项目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标的名称：五三三处二期地块实施详细规划及规划条件编制项目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服务内容：</w:t>
            </w:r>
            <w:r>
              <w:rPr>
                <w:rFonts w:ascii="仿宋_GB2312" w:hAnsi="仿宋_GB2312" w:cs="仿宋_GB2312" w:eastAsia="仿宋_GB2312"/>
                <w:sz w:val="24"/>
              </w:rPr>
              <w:t>编制</w:t>
            </w:r>
            <w:r>
              <w:rPr>
                <w:rFonts w:ascii="仿宋_GB2312" w:hAnsi="仿宋_GB2312" w:cs="仿宋_GB2312" w:eastAsia="仿宋_GB2312"/>
                <w:sz w:val="24"/>
              </w:rPr>
              <w:t>五三三处二期</w:t>
            </w:r>
            <w:r>
              <w:rPr>
                <w:rFonts w:ascii="仿宋_GB2312" w:hAnsi="仿宋_GB2312" w:cs="仿宋_GB2312" w:eastAsia="仿宋_GB2312"/>
                <w:sz w:val="24"/>
              </w:rPr>
              <w:t>LH-06-15-04-01、LH-06-15-04-02、LH-06-15-05、LH-06-15-06现需要采购委托编制单位编制地块实施详细规划，包含供地方案及总平面设计等，同时完成协助核提规划设计条件的相关工作。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技术要求：</w:t>
            </w:r>
            <w:r>
              <w:rPr>
                <w:rFonts w:ascii="仿宋_GB2312" w:hAnsi="仿宋_GB2312" w:cs="仿宋_GB2312" w:eastAsia="仿宋_GB2312"/>
                <w:sz w:val="24"/>
              </w:rPr>
              <w:t>符合</w:t>
            </w:r>
            <w:r>
              <w:rPr>
                <w:rFonts w:ascii="仿宋_GB2312" w:hAnsi="仿宋_GB2312" w:cs="仿宋_GB2312" w:eastAsia="仿宋_GB2312"/>
                <w:sz w:val="24"/>
              </w:rPr>
              <w:t>《西安市城镇开发边界内详细规划技术标准与准则》、《西安市城镇开发边界内详细规划编制指引》等现行</w:t>
            </w:r>
            <w:r>
              <w:rPr>
                <w:rFonts w:ascii="仿宋_GB2312" w:hAnsi="仿宋_GB2312" w:cs="仿宋_GB2312" w:eastAsia="仿宋_GB2312"/>
                <w:sz w:val="24"/>
              </w:rPr>
              <w:t>地块实施</w:t>
            </w:r>
            <w:r>
              <w:rPr>
                <w:rFonts w:ascii="仿宋_GB2312" w:hAnsi="仿宋_GB2312" w:cs="仿宋_GB2312" w:eastAsia="仿宋_GB2312"/>
                <w:sz w:val="24"/>
              </w:rPr>
              <w:t>详细规划编制的标准、规范</w:t>
            </w:r>
            <w:r>
              <w:rPr>
                <w:rFonts w:ascii="仿宋_GB2312" w:hAnsi="仿宋_GB2312" w:cs="仿宋_GB2312" w:eastAsia="仿宋_GB2312"/>
                <w:sz w:val="24"/>
              </w:rPr>
              <w:t>，</w:t>
            </w:r>
            <w:r>
              <w:rPr>
                <w:rFonts w:ascii="仿宋_GB2312" w:hAnsi="仿宋_GB2312" w:cs="仿宋_GB2312" w:eastAsia="仿宋_GB2312"/>
                <w:sz w:val="24"/>
              </w:rPr>
              <w:t>并按照《西安市城镇开发边界内详细规划编制审批管理和实施操作流程</w:t>
            </w:r>
            <w:r>
              <w:rPr>
                <w:rFonts w:ascii="仿宋_GB2312" w:hAnsi="仿宋_GB2312" w:cs="仿宋_GB2312" w:eastAsia="仿宋_GB2312"/>
                <w:sz w:val="24"/>
              </w:rPr>
              <w:t>(暂行)》（市资源发〔2025〕37号）文件要求，提交有关技术成果。</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rPr>
              <w:t>服务要求：</w:t>
            </w:r>
            <w:r>
              <w:rPr>
                <w:rFonts w:ascii="仿宋_GB2312" w:hAnsi="仿宋_GB2312" w:cs="仿宋_GB2312" w:eastAsia="仿宋_GB2312"/>
                <w:sz w:val="24"/>
              </w:rPr>
              <w:t>根据本采购服务内容涉及的专业范围和规划设计工作量，配足规划设计人员等技术力量，按照用地研究、规划条件、供地方案等工作要求和技术标准及行业规范规定，按时完成规划设计服务内容。</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rPr>
              <w:t>进度要求：</w:t>
            </w:r>
            <w:r>
              <w:rPr>
                <w:rFonts w:ascii="仿宋_GB2312" w:hAnsi="仿宋_GB2312" w:cs="仿宋_GB2312" w:eastAsia="仿宋_GB2312"/>
                <w:sz w:val="24"/>
              </w:rPr>
              <w:t>自合同签订之日起至服务期截止完成所有成果交付，具体进度按甲方及相关审批部门要求执行</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rPr>
              <w:t>成果交付要求：</w:t>
            </w:r>
            <w:r>
              <w:rPr>
                <w:rFonts w:ascii="仿宋_GB2312" w:hAnsi="仿宋_GB2312" w:cs="仿宋_GB2312" w:eastAsia="仿宋_GB2312"/>
                <w:sz w:val="24"/>
              </w:rPr>
              <w:t>1.纸质文件：包括</w:t>
            </w:r>
            <w:r>
              <w:rPr>
                <w:rFonts w:ascii="仿宋_GB2312" w:hAnsi="仿宋_GB2312" w:cs="仿宋_GB2312" w:eastAsia="仿宋_GB2312"/>
                <w:sz w:val="24"/>
              </w:rPr>
              <w:t>地块实施详细规划及</w:t>
            </w:r>
            <w:r>
              <w:rPr>
                <w:rFonts w:ascii="仿宋_GB2312" w:hAnsi="仿宋_GB2312" w:cs="仿宋_GB2312" w:eastAsia="仿宋_GB2312"/>
                <w:sz w:val="24"/>
              </w:rPr>
              <w:t>规划条件汇报文件及图纸</w:t>
            </w:r>
            <w:r>
              <w:rPr>
                <w:rFonts w:ascii="仿宋_GB2312" w:hAnsi="仿宋_GB2312" w:cs="仿宋_GB2312" w:eastAsia="仿宋_GB2312"/>
                <w:sz w:val="24"/>
              </w:rPr>
              <w:t>6套。2.电子文件：规划条件汇报文件、图则JPG文件</w:t>
            </w:r>
            <w:r>
              <w:rPr>
                <w:rFonts w:ascii="仿宋_GB2312" w:hAnsi="仿宋_GB2312" w:cs="仿宋_GB2312" w:eastAsia="仿宋_GB2312"/>
                <w:sz w:val="24"/>
              </w:rPr>
              <w:t>、</w:t>
            </w:r>
            <w:r>
              <w:rPr>
                <w:rFonts w:ascii="仿宋_GB2312" w:hAnsi="仿宋_GB2312" w:cs="仿宋_GB2312" w:eastAsia="仿宋_GB2312"/>
                <w:sz w:val="24"/>
              </w:rPr>
              <w:t>数据库文件</w:t>
            </w:r>
            <w:r>
              <w:rPr>
                <w:rFonts w:ascii="仿宋_GB2312" w:hAnsi="仿宋_GB2312" w:cs="仿宋_GB2312" w:eastAsia="仿宋_GB2312"/>
                <w:sz w:val="24"/>
              </w:rPr>
              <w:t>等资料的刻录光盘</w:t>
            </w:r>
            <w:r>
              <w:rPr>
                <w:rFonts w:ascii="仿宋_GB2312" w:hAnsi="仿宋_GB2312" w:cs="仿宋_GB2312" w:eastAsia="仿宋_GB2312"/>
                <w:sz w:val="24"/>
              </w:rPr>
              <w:t>1套。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 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执行中华人民共和国规划设计行业现行标准、规定、规程及规范，符合行业和地方通用标准和惯例要求。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合同签订后，提供初步成果后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方案通过区政府审议通过后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规划成果入库后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1.本项目合同包1为非专门面向中小企业采购。 2.本项目属性为服务。 3.本项目合同包1采购标的所属行业为：其他未列明行业； 4.本项目是否属于信用担保试点范围：否。 5.根据陕西省财政厅关于启用会计师事务所审计报告“二维码”赋码查验功能的通知（陕财办会函〔2022〕55号），供应商提交的2023年度或2024年度经审计的完整财务报告中，需附带具备查验功能的二维码。 6.注：网上引用图片时，需标注来源出处如网址等。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提供合法有效的营业执照/事业单位法人证书/专业服务机构执业许可证/民办非企业单位登记证书等相关证明，自然人参与的提供其身份证明；2.法定代表人授权书（附法定代表人、被授权人身份证复印件），法定代表人直接参加磋商，须提供法定代表人身份证明；3.提供磋商截止日前六个月内任意一个月的纳税证明，依法免税的单位提供相关证明材料；4.提供磋商截止日前六个月内任意一个月的社保资金交纳证明，依法不需要缴纳社保资金的单位提供相关证明材料；5.参加本次政府采购活动前三年内在经营活动中没有重大违法记录的书面声明；6.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构将拒绝其参与政府采购活动，查询结果以纸质方式留存。）；7.提供具有履行合同所必需的设备和专业技术能力的承诺；</w:t>
            </w:r>
          </w:p>
        </w:tc>
        <w:tc>
          <w:tcPr>
            <w:tcW w:type="dxa" w:w="1661"/>
          </w:tcPr>
          <w:p>
            <w:pPr>
              <w:pStyle w:val="null3"/>
            </w:pPr>
            <w:r>
              <w:rPr>
                <w:rFonts w:ascii="仿宋_GB2312" w:hAnsi="仿宋_GB2312" w:cs="仿宋_GB2312" w:eastAsia="仿宋_GB2312"/>
              </w:rPr>
              <w:t>响应文件封面 商务偏离表.docx 响应函 磋商方案.docx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完整财务报告（成立时间至提交磋商文件截止时间不足一年的可提供成立后任意时段的资产负债表）或磋商截止日前六个月内基本存款账户开户银行出具的资信证明（附开户许可证或开户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供应商需在项目电子化交易系统中按要求填写《企业关系关联承诺书》完成承诺并进行电子签章；</w:t>
            </w:r>
          </w:p>
        </w:tc>
        <w:tc>
          <w:tcPr>
            <w:tcW w:type="dxa" w:w="1661"/>
          </w:tcPr>
          <w:p>
            <w:pPr>
              <w:pStyle w:val="null3"/>
            </w:pPr>
            <w:r>
              <w:rPr>
                <w:rFonts w:ascii="仿宋_GB2312" w:hAnsi="仿宋_GB2312" w:cs="仿宋_GB2312" w:eastAsia="仿宋_GB2312"/>
              </w:rPr>
              <w:t>供应商承诺书docx.docx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具有独立承担民事责任能力的法人、其他组织或自然人，提供合法有效的营业执照/事业单位法人证书/专业服务机构执业许可证/民办非企业单位登记证书等相关证明，自然人参与的提供其身份证明；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完整财务报告（成立时间至提交磋商文件截止时间不足一年的可提供成立后任意时段的资产负债表）或磋商截止日前六个月内基本存款账户开户银行出具的资信证明（附开户许可证或开户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提供磋商截止日前六个月内任意一个月的纳税证明或完税证明（增值税、印花税、城市维护建设费、企业所得税等一种或多种税种），依法免税的单位提供相关证明材料；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提供磋商截止日前六个月内任意一个月的社保资金交纳证明，依法不需要缴纳社保资金的单位提供相关证明材料；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三年内无重大违法记录</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企业关系关联承诺书</w:t>
            </w:r>
          </w:p>
        </w:tc>
        <w:tc>
          <w:tcPr>
            <w:tcW w:type="dxa" w:w="3322"/>
          </w:tcPr>
          <w:p>
            <w:pPr>
              <w:pStyle w:val="null3"/>
            </w:pPr>
            <w:r>
              <w:rPr>
                <w:rFonts w:ascii="仿宋_GB2312" w:hAnsi="仿宋_GB2312" w:cs="仿宋_GB2312" w:eastAsia="仿宋_GB2312"/>
              </w:rPr>
              <w:t>提供企业关系关联承诺书；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供应商须具有城乡规划编制乙级及以上资质证书；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磋商响应文件上法定代表人或被授权人的签字盖章齐全并加盖公章</w:t>
            </w:r>
          </w:p>
        </w:tc>
        <w:tc>
          <w:tcPr>
            <w:tcW w:type="dxa" w:w="1661"/>
          </w:tcPr>
          <w:p>
            <w:pPr>
              <w:pStyle w:val="null3"/>
            </w:pPr>
            <w:r>
              <w:rPr>
                <w:rFonts w:ascii="仿宋_GB2312" w:hAnsi="仿宋_GB2312" w:cs="仿宋_GB2312" w:eastAsia="仿宋_GB2312"/>
              </w:rPr>
              <w:t>响应文件封面 供应商承诺书docx.docx 中小企业声明函 残疾人福利性单位声明函 标的清单 报价表 响应函 商务偏离表.docx 资格证明文件.docx 监狱企业的证明文件 磋商方案.docx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只能有一个有效报价，不得提交选择性报价，按要求提交二次或多次报价，且每轮报价不超过采购预算金额或最高限价或磋商小组成员认为低于成本的报价。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商务偏离表.docx 磋商方案.docx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商务偏离表.docx 磋商方案.docx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供应商对本项目的理解程度</w:t>
            </w:r>
          </w:p>
        </w:tc>
        <w:tc>
          <w:tcPr>
            <w:tcW w:type="dxa" w:w="2492"/>
          </w:tcPr>
          <w:p>
            <w:pPr>
              <w:pStyle w:val="null3"/>
            </w:pPr>
            <w:r>
              <w:rPr>
                <w:rFonts w:ascii="仿宋_GB2312" w:hAnsi="仿宋_GB2312" w:cs="仿宋_GB2312" w:eastAsia="仿宋_GB2312"/>
              </w:rPr>
              <w:t>根据供应商对本项目的理解程度，从背景、现状、上位规划传导等方面进行描述，全面深入了解项目情况，完全满足磋商文件要求计6.1-10分；比较了解项目情况，基本满足磋商文件要求计3.1-6分；描述内容模糊混乱的计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磋商文件的要求，对供应商的实施方案的专业性、技术指标的合理性和可操作性进行赋分，能在完全理解项目要求的基础上具有完善的实施方案，且专业性、科学性高，操作性强的计12.1-15分；方案的编制完整、可操作性较强，易懂计8.1-12分；基本满足项目要求，方案较详细、合理计4.1-8分；方案简单模糊计1-4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组织架构</w:t>
            </w:r>
          </w:p>
        </w:tc>
        <w:tc>
          <w:tcPr>
            <w:tcW w:type="dxa" w:w="2492"/>
          </w:tcPr>
          <w:p>
            <w:pPr>
              <w:pStyle w:val="null3"/>
            </w:pPr>
            <w:r>
              <w:rPr>
                <w:rFonts w:ascii="仿宋_GB2312" w:hAnsi="仿宋_GB2312" w:cs="仿宋_GB2312" w:eastAsia="仿宋_GB2312"/>
              </w:rPr>
              <w:t>根据磋商文件的要求，对供应商的组织架构的合理性、完整性和体系性进行赋分，能在完全理解项目要求的基础上具有细致的组织构架，且完整性、体系性高的计6.1-8分；基本满足项目要求，组织构架较详细、合理计3.1-6分；组织构架简单、不详细计1-3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根据供应商对本项目制定科学、合理的工作进度计划，且具有质量保障、进度控制等技术组织措施，详细合理，完全满足磋商文件要求计6.1-8分，措施较合理，基本满足磋商文件要求计3.1-6分，简单、不合理计1-3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重、难点分析及合理化建议</w:t>
            </w:r>
          </w:p>
        </w:tc>
        <w:tc>
          <w:tcPr>
            <w:tcW w:type="dxa" w:w="2492"/>
          </w:tcPr>
          <w:p>
            <w:pPr>
              <w:pStyle w:val="null3"/>
            </w:pPr>
            <w:r>
              <w:rPr>
                <w:rFonts w:ascii="仿宋_GB2312" w:hAnsi="仿宋_GB2312" w:cs="仿宋_GB2312" w:eastAsia="仿宋_GB2312"/>
              </w:rPr>
              <w:t>针对本项目的重点难点分析及合理化建议，根据分析、建议及可实施性，详细合理，完全满足磋商文件要求计6.1-8分，建议较合理，基本满足磋商文件要求计4.1-6分，简单模糊计1-4分，未提供不计分。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管理体系</w:t>
            </w:r>
          </w:p>
        </w:tc>
        <w:tc>
          <w:tcPr>
            <w:tcW w:type="dxa" w:w="2492"/>
          </w:tcPr>
          <w:p>
            <w:pPr>
              <w:pStyle w:val="null3"/>
            </w:pPr>
            <w:r>
              <w:rPr>
                <w:rFonts w:ascii="仿宋_GB2312" w:hAnsi="仿宋_GB2312" w:cs="仿宋_GB2312" w:eastAsia="仿宋_GB2312"/>
              </w:rPr>
              <w:t>针对本项目有完善的管理体系，项目规划合理，制定有效的管理制度，配备相应的辅助工具，详细合理，完全满足磋商文件要求计6.1-9分，规划较合理，基本满足磋商文件要求计3.1-6分，规划不合理、简单计1-3分，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①人员配备与管理方案</w:t>
            </w:r>
          </w:p>
        </w:tc>
        <w:tc>
          <w:tcPr>
            <w:tcW w:type="dxa" w:w="2492"/>
          </w:tcPr>
          <w:p>
            <w:pPr>
              <w:pStyle w:val="null3"/>
            </w:pPr>
            <w:r>
              <w:rPr>
                <w:rFonts w:ascii="仿宋_GB2312" w:hAnsi="仿宋_GB2312" w:cs="仿宋_GB2312" w:eastAsia="仿宋_GB2312"/>
              </w:rPr>
              <w:t xml:space="preserve"> 所配人员满足要求，人员结构合理、责任明确，从业经历丰富、人员组织安排科学，计6.1-8分。 所配人员基本满足要求，人员结构合理、有一定的从业经历、人员组织安排基本科学计3.1-6分。 所配人员结构模糊、分配不均、从业经历欠缺、人员组织安排不太科学计1-3分。 未提供不计分。 （需提供相关证明材料复印件并加盖公章）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②项目负责人</w:t>
            </w:r>
          </w:p>
        </w:tc>
        <w:tc>
          <w:tcPr>
            <w:tcW w:type="dxa" w:w="2492"/>
          </w:tcPr>
          <w:p>
            <w:pPr>
              <w:pStyle w:val="null3"/>
            </w:pPr>
            <w:r>
              <w:rPr>
                <w:rFonts w:ascii="仿宋_GB2312" w:hAnsi="仿宋_GB2312" w:cs="仿宋_GB2312" w:eastAsia="仿宋_GB2312"/>
              </w:rPr>
              <w:t>项目负责人（直接负责报告的主管人员）具有相关专业中级职称计1分，相关专业高级职称计2分。 未提供不计分。 （需提供相关证明材料复印件并加盖公章）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实施及协调过程有明确承诺，并承诺积极按照采购人提出的要求或意见改进工作，且针对本项目作出售后服务保障措施能提供实质性承诺（应包含不能完全履行承诺时愿意接受相关处罚的承诺），详细合理可得3.1-6分，条理模糊、简单、实质性体现一般得1-3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①保密制度健全、措施具体详细可行，得6.1-8分； ②保密制度基本健全、措施基本可行，得3.1-6分； ③保密制度不健全、措施不完整可行性差得1-3分，未提供不计分。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供应商提供自2022年01月01日起至今类似项目业绩（以合同签订时间或中标通知书时间为准），每提供一个业绩得2分，满分8分。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1.满足磋商文件实质性要求且最终报价最低的供应商的价格为磋商基准价，其价格分为满分10分。2.磋商总报价得分=(磋商基准价／最终磋商总报价)×10。注：计算分数时四舍五入取小数点后两位。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1.经初审合格的磋商响应文件，通过符合性审查的磋商报价为有效磋商价。对符合政策性扣减的有效磋商报价进行政策性扣减，并依据扣减后的价格（评审价格）进行价格评审。 2.满足磋商文件实质性要求且最终报价最低的供应商的价格为磋商基准价，其价格分为满分10分。 3.磋商报价得分=（磋商基准价/最终磋商报价）×10的公式计算得分。注：监狱企业与残疾人福利性单位视同小型、微型企业，享受同等价格扣除，当企业属性重复时，不重复价格扣除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详见附件：供应商承诺书docx.docx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