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版本号：HRC-ZBDL-2025-0078220250625001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西电片区8宗土地用地阶段“多测合一”测绘服务项目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HRC-ZBDL-2025-00782</w:t>
      </w:r>
      <w:r>
        <w:br/>
      </w:r>
      <w:r>
        <w:br/>
      </w:r>
      <w:r>
        <w:br/>
      </w:r>
    </w:p>
    <w:p>
      <w:pPr>
        <w:pStyle w:val="null3"/>
        <w:jc w:val="center"/>
        <w:outlineLvl w:val="2"/>
      </w:pPr>
      <w:r>
        <w:rPr>
          <w:rFonts w:ascii="仿宋_GB2312" w:hAnsi="仿宋_GB2312" w:cs="仿宋_GB2312" w:eastAsia="仿宋_GB2312"/>
          <w:sz w:val="28"/>
          <w:b/>
        </w:rPr>
        <w:t>西安大兴新区开发建设管理委员会</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西安大兴新区开发建设管理委员会</w:t>
      </w:r>
      <w:r>
        <w:rPr>
          <w:rFonts w:ascii="仿宋_GB2312" w:hAnsi="仿宋_GB2312" w:cs="仿宋_GB2312" w:eastAsia="仿宋_GB2312"/>
        </w:rPr>
        <w:t>委托，拟对</w:t>
      </w:r>
      <w:r>
        <w:rPr>
          <w:rFonts w:ascii="仿宋_GB2312" w:hAnsi="仿宋_GB2312" w:cs="仿宋_GB2312" w:eastAsia="仿宋_GB2312"/>
        </w:rPr>
        <w:t>西电片区8宗土地用地阶段“多测合一”测绘服务项目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HRC-ZBDL-2025-00782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西电片区8宗土地用地阶段“多测合一”测绘服务项目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西安市工程建设项目“多测合一”改革工作实施办法》（试行）及西电片区土地供应相关工作要求,需委托第三方机构开展西电片区8宗土地（总面积约363亩）供应前的用地测绘服务，包括不动产权籍调查、供地测量、用地定点测量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资格：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财务状况报告：提供2023年度或2024年度经审计的完整财务报告（成立时间至提交磋商文件截止时间不足一年的可提供成立后任意时段的资产负债表）或磋商截止日前六个月内基本存款账户开户银行出具的资信证明（附开户许可证或开户证明）（注：各供应商财务状况审计报告需赋加二维码，并附财务状况审计报告扫码截图）；</w:t>
      </w:r>
    </w:p>
    <w:p>
      <w:pPr>
        <w:pStyle w:val="null3"/>
      </w:pPr>
      <w:r>
        <w:rPr>
          <w:rFonts w:ascii="仿宋_GB2312" w:hAnsi="仿宋_GB2312" w:cs="仿宋_GB2312" w:eastAsia="仿宋_GB2312"/>
        </w:rPr>
        <w:t>3、税收缴纳证明：提供磋商截止日前六个月内任意一个月的纳税证明或完税证明（增值税、印花税、城市维护建设费、企业所得税等一种或多种税种），依法免税的单位提供相关证明材料；</w:t>
      </w:r>
    </w:p>
    <w:p>
      <w:pPr>
        <w:pStyle w:val="null3"/>
      </w:pPr>
      <w:r>
        <w:rPr>
          <w:rFonts w:ascii="仿宋_GB2312" w:hAnsi="仿宋_GB2312" w:cs="仿宋_GB2312" w:eastAsia="仿宋_GB2312"/>
        </w:rPr>
        <w:t>4、社会保障资金缴纳证明：提供磋商截止日前六个月内任意一个月的社保资金交纳证明，依法不需要缴纳社保资金的单位提供相关证明材料；</w:t>
      </w:r>
    </w:p>
    <w:p>
      <w:pPr>
        <w:pStyle w:val="null3"/>
      </w:pPr>
      <w:r>
        <w:rPr>
          <w:rFonts w:ascii="仿宋_GB2312" w:hAnsi="仿宋_GB2312" w:cs="仿宋_GB2312" w:eastAsia="仿宋_GB2312"/>
        </w:rPr>
        <w:t>5、没有重大违法记录的书面声明：参加本次政府采购活动前三年内在经营活动中没有重大违法记录的书面声明；</w:t>
      </w:r>
    </w:p>
    <w:p>
      <w:pPr>
        <w:pStyle w:val="null3"/>
      </w:pPr>
      <w:r>
        <w:rPr>
          <w:rFonts w:ascii="仿宋_GB2312" w:hAnsi="仿宋_GB2312" w:cs="仿宋_GB2312" w:eastAsia="仿宋_GB2312"/>
        </w:rPr>
        <w:t>6、专业技术能力承诺：提供具有履行合同所必需的设备和专业技术能力的承诺；</w:t>
      </w:r>
    </w:p>
    <w:p>
      <w:pPr>
        <w:pStyle w:val="null3"/>
      </w:pPr>
      <w:r>
        <w:rPr>
          <w:rFonts w:ascii="仿宋_GB2312" w:hAnsi="仿宋_GB2312" w:cs="仿宋_GB2312" w:eastAsia="仿宋_GB2312"/>
        </w:rPr>
        <w:t>7、供应商代表资格：法定代表人直接参加磋商的，须出具法定代表 人身份证明；法定代表人授权代表参加磋商 的，须出具法定代表人授权书；</w:t>
      </w:r>
    </w:p>
    <w:p>
      <w:pPr>
        <w:pStyle w:val="null3"/>
      </w:pPr>
      <w:r>
        <w:rPr>
          <w:rFonts w:ascii="仿宋_GB2312" w:hAnsi="仿宋_GB2312" w:cs="仿宋_GB2312" w:eastAsia="仿宋_GB2312"/>
        </w:rPr>
        <w:t>8、信誉截图：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构将拒绝其参与政府采购活动，查询结果以纸质方式留存。）（注：网上引用图片时，需标注来源出处如网址等）；</w:t>
      </w:r>
    </w:p>
    <w:p>
      <w:pPr>
        <w:pStyle w:val="null3"/>
      </w:pPr>
      <w:r>
        <w:rPr>
          <w:rFonts w:ascii="仿宋_GB2312" w:hAnsi="仿宋_GB2312" w:cs="仿宋_GB2312" w:eastAsia="仿宋_GB2312"/>
        </w:rPr>
        <w:t>9、企业关系关联承诺书：提供企业关系关联承诺书；</w:t>
      </w:r>
    </w:p>
    <w:p>
      <w:pPr>
        <w:pStyle w:val="null3"/>
      </w:pPr>
      <w:r>
        <w:rPr>
          <w:rFonts w:ascii="仿宋_GB2312" w:hAnsi="仿宋_GB2312" w:cs="仿宋_GB2312" w:eastAsia="仿宋_GB2312"/>
        </w:rPr>
        <w:t>10、企业资质：供应商需具备国家测绘行政主管部门颁发的测绘乙级（含乙级）或以上资质；</w:t>
      </w:r>
    </w:p>
    <w:p>
      <w:pPr>
        <w:pStyle w:val="null3"/>
      </w:pPr>
      <w:r>
        <w:rPr>
          <w:rFonts w:ascii="仿宋_GB2312" w:hAnsi="仿宋_GB2312" w:cs="仿宋_GB2312" w:eastAsia="仿宋_GB2312"/>
        </w:rPr>
        <w:t>11、联合体：本项目不接受联合体磋商。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西安大兴新区开发建设管理委员会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陕西省西安市莲湖区西安市莲湖区沣惠北路123号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西安大兴新区开发建设管理委员会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02982591551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18066891049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代理服务费收费标准：招标代理服务费参照《招标代理服务收费管理暂行办法》（计价格[2002]1980号）、国家发展改革委员会办公厅颁发的《关于招标代理服务收费有关问题的通知》（发改办价格[2003] 857号）、《国家发展改革委关于降低部分建设项目收费标准规范收费行为等有关问题的通知》（发改价格[2011]534号）的标准的 90 %收取。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西安大兴新区开发建设管理委员会</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西安大兴新区开发建设管理委员会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西安大兴新区开发建设管理委员会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联系人：周泉</w:t>
      </w:r>
    </w:p>
    <w:p>
      <w:pPr>
        <w:pStyle w:val="null3"/>
      </w:pPr>
      <w:r>
        <w:rPr>
          <w:rFonts w:ascii="仿宋_GB2312" w:hAnsi="仿宋_GB2312" w:cs="仿宋_GB2312" w:eastAsia="仿宋_GB2312"/>
        </w:rPr>
        <w:t>联系电话：18066891049</w:t>
      </w:r>
    </w:p>
    <w:p>
      <w:pPr>
        <w:pStyle w:val="null3"/>
      </w:pPr>
      <w:r>
        <w:rPr>
          <w:rFonts w:ascii="仿宋_GB2312" w:hAnsi="仿宋_GB2312" w:cs="仿宋_GB2312" w:eastAsia="仿宋_GB2312"/>
        </w:rPr>
        <w:t>地址：西安市曲江新城区雁翔路3269号【旺座·曲江】E座29层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西安市工程建设项目“多测合一”改革工作实施办法》（试行）及西电片区土地供应相关工作要求,需委托第三方机构开展西电片区8宗土地（总面积约363亩）供应前的用地测绘服务，包括不动产权籍调查、供地测量、用地定点测量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645,000.00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西电片区8宗土地用地阶段“多测合一”测绘服务项目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标的名称：西电片区8宗土地用地阶段“多测合一”测绘服务项目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32"/>
              <w:gridCol w:w="498"/>
              <w:gridCol w:w="933"/>
              <w:gridCol w:w="981"/>
            </w:tblGrid>
            <w:tr>
              <w:tc>
                <w:tcPr>
                  <w:tcW w:type="dxa" w:w="2544"/>
                  <w:gridSpan w:val="4"/>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西电片区范围1:500地形图、规划用地实测</w:t>
                  </w:r>
                </w:p>
              </w:tc>
            </w:tr>
            <w:tr>
              <w:tc>
                <w:tcPr>
                  <w:tcW w:type="dxa" w:w="13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序号</w:t>
                  </w:r>
                </w:p>
              </w:tc>
              <w:tc>
                <w:tcPr>
                  <w:tcW w:type="dxa" w:w="49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宗地号</w:t>
                  </w:r>
                </w:p>
              </w:tc>
              <w:tc>
                <w:tcPr>
                  <w:tcW w:type="dxa" w:w="93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1:500地形图</w:t>
                  </w:r>
                </w:p>
              </w:tc>
              <w:tc>
                <w:tcPr>
                  <w:tcW w:type="dxa" w:w="98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实测点</w:t>
                  </w:r>
                </w:p>
              </w:tc>
            </w:tr>
            <w:tr>
              <w:tc>
                <w:tcPr>
                  <w:tcW w:type="dxa" w:w="1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p>
              </w:tc>
              <w:tc>
                <w:tcPr>
                  <w:tcW w:type="dxa" w:w="4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9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1:500地形图数量（格）</w:t>
                  </w:r>
                </w:p>
              </w:tc>
              <w:tc>
                <w:tcPr>
                  <w:tcW w:type="dxa" w:w="9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合计（点）</w:t>
                  </w:r>
                </w:p>
              </w:tc>
            </w:tr>
            <w:tr>
              <w:tc>
                <w:tcPr>
                  <w:tcW w:type="dxa" w:w="1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1</w:t>
                  </w:r>
                </w:p>
              </w:tc>
              <w:tc>
                <w:tcPr>
                  <w:tcW w:type="dxa" w:w="4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LH-08-04-06</w:t>
                  </w:r>
                </w:p>
              </w:tc>
              <w:tc>
                <w:tcPr>
                  <w:tcW w:type="dxa" w:w="9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80</w:t>
                  </w:r>
                </w:p>
              </w:tc>
              <w:tc>
                <w:tcPr>
                  <w:tcW w:type="dxa" w:w="9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58</w:t>
                  </w:r>
                </w:p>
              </w:tc>
            </w:tr>
            <w:tr>
              <w:tc>
                <w:tcPr>
                  <w:tcW w:type="dxa" w:w="1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2</w:t>
                  </w:r>
                </w:p>
              </w:tc>
              <w:tc>
                <w:tcPr>
                  <w:tcW w:type="dxa" w:w="4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LH-08-11-01</w:t>
                  </w:r>
                </w:p>
              </w:tc>
              <w:tc>
                <w:tcPr>
                  <w:tcW w:type="dxa" w:w="9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65</w:t>
                  </w:r>
                </w:p>
              </w:tc>
              <w:tc>
                <w:tcPr>
                  <w:tcW w:type="dxa" w:w="9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25</w:t>
                  </w:r>
                </w:p>
              </w:tc>
            </w:tr>
            <w:tr>
              <w:tc>
                <w:tcPr>
                  <w:tcW w:type="dxa" w:w="1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3</w:t>
                  </w:r>
                </w:p>
              </w:tc>
              <w:tc>
                <w:tcPr>
                  <w:tcW w:type="dxa" w:w="4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LH-08-22-02</w:t>
                  </w:r>
                </w:p>
              </w:tc>
              <w:tc>
                <w:tcPr>
                  <w:tcW w:type="dxa" w:w="9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45</w:t>
                  </w:r>
                </w:p>
              </w:tc>
              <w:tc>
                <w:tcPr>
                  <w:tcW w:type="dxa" w:w="9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26</w:t>
                  </w:r>
                </w:p>
              </w:tc>
            </w:tr>
            <w:tr>
              <w:tc>
                <w:tcPr>
                  <w:tcW w:type="dxa" w:w="1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4</w:t>
                  </w:r>
                </w:p>
              </w:tc>
              <w:tc>
                <w:tcPr>
                  <w:tcW w:type="dxa" w:w="4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LH-08-09-02</w:t>
                  </w:r>
                </w:p>
              </w:tc>
              <w:tc>
                <w:tcPr>
                  <w:tcW w:type="dxa" w:w="9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30</w:t>
                  </w:r>
                </w:p>
              </w:tc>
              <w:tc>
                <w:tcPr>
                  <w:tcW w:type="dxa" w:w="9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20</w:t>
                  </w:r>
                </w:p>
              </w:tc>
            </w:tr>
            <w:tr>
              <w:tc>
                <w:tcPr>
                  <w:tcW w:type="dxa" w:w="1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5</w:t>
                  </w:r>
                </w:p>
              </w:tc>
              <w:tc>
                <w:tcPr>
                  <w:tcW w:type="dxa" w:w="4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LH-08-10-01</w:t>
                  </w:r>
                </w:p>
              </w:tc>
              <w:tc>
                <w:tcPr>
                  <w:tcW w:type="dxa" w:w="9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91</w:t>
                  </w:r>
                </w:p>
              </w:tc>
              <w:tc>
                <w:tcPr>
                  <w:tcW w:type="dxa" w:w="9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35</w:t>
                  </w:r>
                </w:p>
              </w:tc>
            </w:tr>
            <w:tr>
              <w:tc>
                <w:tcPr>
                  <w:tcW w:type="dxa" w:w="1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6</w:t>
                  </w:r>
                </w:p>
              </w:tc>
              <w:tc>
                <w:tcPr>
                  <w:tcW w:type="dxa" w:w="4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LH-08-15-02</w:t>
                  </w:r>
                </w:p>
              </w:tc>
              <w:tc>
                <w:tcPr>
                  <w:tcW w:type="dxa" w:w="9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13</w:t>
                  </w:r>
                </w:p>
              </w:tc>
              <w:tc>
                <w:tcPr>
                  <w:tcW w:type="dxa" w:w="9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25</w:t>
                  </w:r>
                </w:p>
              </w:tc>
            </w:tr>
            <w:tr>
              <w:tc>
                <w:tcPr>
                  <w:tcW w:type="dxa" w:w="1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7</w:t>
                  </w:r>
                </w:p>
              </w:tc>
              <w:tc>
                <w:tcPr>
                  <w:tcW w:type="dxa" w:w="4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LH-08-16-01-01</w:t>
                  </w:r>
                </w:p>
              </w:tc>
              <w:tc>
                <w:tcPr>
                  <w:tcW w:type="dxa" w:w="9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45</w:t>
                  </w:r>
                </w:p>
              </w:tc>
              <w:tc>
                <w:tcPr>
                  <w:tcW w:type="dxa" w:w="9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25</w:t>
                  </w:r>
                </w:p>
              </w:tc>
            </w:tr>
            <w:tr>
              <w:tc>
                <w:tcPr>
                  <w:tcW w:type="dxa" w:w="1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8</w:t>
                  </w:r>
                </w:p>
              </w:tc>
              <w:tc>
                <w:tcPr>
                  <w:tcW w:type="dxa" w:w="4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LH-08-16-01-02</w:t>
                  </w:r>
                </w:p>
              </w:tc>
              <w:tc>
                <w:tcPr>
                  <w:tcW w:type="dxa" w:w="9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45</w:t>
                  </w:r>
                </w:p>
              </w:tc>
              <w:tc>
                <w:tcPr>
                  <w:tcW w:type="dxa" w:w="9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30</w:t>
                  </w:r>
                </w:p>
              </w:tc>
            </w:tr>
            <w:tr>
              <w:tc>
                <w:tcPr>
                  <w:tcW w:type="dxa" w:w="2544"/>
                  <w:gridSpan w:val="4"/>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spacing w:before="285"/>
                    <w:jc w:val="center"/>
                  </w:pPr>
                  <w:r>
                    <w:rPr>
                      <w:rFonts w:ascii="仿宋_GB2312" w:hAnsi="仿宋_GB2312" w:cs="仿宋_GB2312" w:eastAsia="仿宋_GB2312"/>
                      <w:sz w:val="19"/>
                      <w:color w:val="000000"/>
                    </w:rPr>
                    <w:t>西电片区范围土地测量</w:t>
                  </w:r>
                </w:p>
              </w:tc>
            </w:tr>
            <w:tr>
              <w:tc>
                <w:tcPr>
                  <w:tcW w:type="dxa" w:w="13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序号</w:t>
                  </w:r>
                </w:p>
              </w:tc>
              <w:tc>
                <w:tcPr>
                  <w:tcW w:type="dxa" w:w="49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宗地号</w:t>
                  </w:r>
                </w:p>
              </w:tc>
              <w:tc>
                <w:tcPr>
                  <w:tcW w:type="dxa" w:w="93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界址点实测</w:t>
                  </w:r>
                </w:p>
              </w:tc>
              <w:tc>
                <w:tcPr>
                  <w:tcW w:type="dxa" w:w="98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权属调查及测绘</w:t>
                  </w:r>
                </w:p>
              </w:tc>
            </w:tr>
            <w:tr>
              <w:tc>
                <w:tcPr>
                  <w:tcW w:type="dxa" w:w="1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p>
              </w:tc>
              <w:tc>
                <w:tcPr>
                  <w:tcW w:type="dxa" w:w="4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9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净用地（点）</w:t>
                  </w:r>
                </w:p>
              </w:tc>
              <w:tc>
                <w:tcPr>
                  <w:tcW w:type="dxa" w:w="9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净用地（点）</w:t>
                  </w:r>
                </w:p>
              </w:tc>
            </w:tr>
            <w:tr>
              <w:tc>
                <w:tcPr>
                  <w:tcW w:type="dxa" w:w="1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1</w:t>
                  </w:r>
                </w:p>
              </w:tc>
              <w:tc>
                <w:tcPr>
                  <w:tcW w:type="dxa" w:w="4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LH-08-04-06</w:t>
                  </w:r>
                </w:p>
              </w:tc>
              <w:tc>
                <w:tcPr>
                  <w:tcW w:type="dxa" w:w="9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58</w:t>
                  </w:r>
                </w:p>
              </w:tc>
              <w:tc>
                <w:tcPr>
                  <w:tcW w:type="dxa" w:w="9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58</w:t>
                  </w:r>
                </w:p>
              </w:tc>
            </w:tr>
            <w:tr>
              <w:tc>
                <w:tcPr>
                  <w:tcW w:type="dxa" w:w="1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2</w:t>
                  </w:r>
                </w:p>
              </w:tc>
              <w:tc>
                <w:tcPr>
                  <w:tcW w:type="dxa" w:w="4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LH-08-11-01</w:t>
                  </w:r>
                </w:p>
              </w:tc>
              <w:tc>
                <w:tcPr>
                  <w:tcW w:type="dxa" w:w="9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25</w:t>
                  </w:r>
                </w:p>
              </w:tc>
              <w:tc>
                <w:tcPr>
                  <w:tcW w:type="dxa" w:w="9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25</w:t>
                  </w:r>
                </w:p>
              </w:tc>
            </w:tr>
            <w:tr>
              <w:tc>
                <w:tcPr>
                  <w:tcW w:type="dxa" w:w="1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3</w:t>
                  </w:r>
                </w:p>
              </w:tc>
              <w:tc>
                <w:tcPr>
                  <w:tcW w:type="dxa" w:w="4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LH-08-22-02</w:t>
                  </w:r>
                </w:p>
              </w:tc>
              <w:tc>
                <w:tcPr>
                  <w:tcW w:type="dxa" w:w="9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26</w:t>
                  </w:r>
                </w:p>
              </w:tc>
              <w:tc>
                <w:tcPr>
                  <w:tcW w:type="dxa" w:w="9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26</w:t>
                  </w:r>
                </w:p>
              </w:tc>
            </w:tr>
            <w:tr>
              <w:tc>
                <w:tcPr>
                  <w:tcW w:type="dxa" w:w="1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4</w:t>
                  </w:r>
                </w:p>
              </w:tc>
              <w:tc>
                <w:tcPr>
                  <w:tcW w:type="dxa" w:w="4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LH-08-09-02</w:t>
                  </w:r>
                </w:p>
              </w:tc>
              <w:tc>
                <w:tcPr>
                  <w:tcW w:type="dxa" w:w="9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20</w:t>
                  </w:r>
                </w:p>
              </w:tc>
              <w:tc>
                <w:tcPr>
                  <w:tcW w:type="dxa" w:w="9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20</w:t>
                  </w:r>
                </w:p>
              </w:tc>
            </w:tr>
            <w:tr>
              <w:tc>
                <w:tcPr>
                  <w:tcW w:type="dxa" w:w="1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5</w:t>
                  </w:r>
                </w:p>
              </w:tc>
              <w:tc>
                <w:tcPr>
                  <w:tcW w:type="dxa" w:w="4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LH-08-10-01</w:t>
                  </w:r>
                </w:p>
              </w:tc>
              <w:tc>
                <w:tcPr>
                  <w:tcW w:type="dxa" w:w="9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35</w:t>
                  </w:r>
                </w:p>
              </w:tc>
              <w:tc>
                <w:tcPr>
                  <w:tcW w:type="dxa" w:w="9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35</w:t>
                  </w:r>
                </w:p>
              </w:tc>
            </w:tr>
            <w:tr>
              <w:tc>
                <w:tcPr>
                  <w:tcW w:type="dxa" w:w="1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6</w:t>
                  </w:r>
                </w:p>
              </w:tc>
              <w:tc>
                <w:tcPr>
                  <w:tcW w:type="dxa" w:w="4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LH-08-15-02</w:t>
                  </w:r>
                </w:p>
              </w:tc>
              <w:tc>
                <w:tcPr>
                  <w:tcW w:type="dxa" w:w="9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25</w:t>
                  </w:r>
                </w:p>
              </w:tc>
              <w:tc>
                <w:tcPr>
                  <w:tcW w:type="dxa" w:w="9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25</w:t>
                  </w:r>
                </w:p>
              </w:tc>
            </w:tr>
            <w:tr>
              <w:tc>
                <w:tcPr>
                  <w:tcW w:type="dxa" w:w="1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7</w:t>
                  </w:r>
                </w:p>
              </w:tc>
              <w:tc>
                <w:tcPr>
                  <w:tcW w:type="dxa" w:w="4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LH-08-16-01-01</w:t>
                  </w:r>
                </w:p>
              </w:tc>
              <w:tc>
                <w:tcPr>
                  <w:tcW w:type="dxa" w:w="9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25</w:t>
                  </w:r>
                </w:p>
              </w:tc>
              <w:tc>
                <w:tcPr>
                  <w:tcW w:type="dxa" w:w="9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25</w:t>
                  </w:r>
                </w:p>
              </w:tc>
            </w:tr>
            <w:tr>
              <w:tc>
                <w:tcPr>
                  <w:tcW w:type="dxa" w:w="1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8</w:t>
                  </w:r>
                </w:p>
              </w:tc>
              <w:tc>
                <w:tcPr>
                  <w:tcW w:type="dxa" w:w="4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LH-08-16-01-02</w:t>
                  </w:r>
                </w:p>
              </w:tc>
              <w:tc>
                <w:tcPr>
                  <w:tcW w:type="dxa" w:w="93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30</w:t>
                  </w:r>
                </w:p>
              </w:tc>
              <w:tc>
                <w:tcPr>
                  <w:tcW w:type="dxa" w:w="9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285"/>
                    <w:ind w:left="90"/>
                    <w:jc w:val="center"/>
                  </w:pPr>
                  <w:r>
                    <w:rPr>
                      <w:rFonts w:ascii="仿宋_GB2312" w:hAnsi="仿宋_GB2312" w:cs="仿宋_GB2312" w:eastAsia="仿宋_GB2312"/>
                      <w:sz w:val="19"/>
                      <w:color w:val="000000"/>
                    </w:rPr>
                    <w:t>30</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符合项目实际需求，项目团队成员具有测量专业相关技术职称。</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合项目实际需求，提供与本项目相适应的专业设施和设备。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符合《CJJ/T8-2011城市测量规范》、《CH 5002地籍测绘规范》、《TD/T 1008土地勘测定界规程》、《国家基本比例尺地图图式第1部分：1:500 1:1000 1:2000地形图图式》GB/T20257.1、《测绘成果质量检查与验收》GB/T24356、《西安市工程建设项目“多测合一”改革工作实施办法》（试行）技术规范及技术要求。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执行中华人民共和国测绘行业现行标准、规定、规程及规范，符合行业和地方通用标准和惯例要求。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当成交供应商累计完成工作量的50%，采购人收到测绘成果资料后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采购人收到全部测绘成果资料，且每个地块的《不动产权籍调查报告》经不动产权属中心审核确认后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成果上传至“多测合一”平台并取得测绘成果汇交数据合格证后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 乙方未按合同要求提供测绘服务或测绘服务质量不能满足合同要求的，甲方应当将乙方违约的情况以及拟采取的措施以书面形式报政府采购监管部门，根据政府采购监管部门的处理意见，甲方有权依据《民法典》有关条款及合同约定终止合同，并要求乙方承担违约责任。同时，政府采购监管部门 有权依据《政府采购法》及相关法律法规对乙方的违法行为进行相应的处罚。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1.本项目合同包1为非专门面向中小企业采购。 2.本项目属性为服务。 3.本项目合同包1采购标的所属行业为：其他为列明行业； 4.本项目是否属于信用担保试点范围：否。 5.根据陕西省财政厅关于启用会计师事务所审计报告“二维码”赋码查验功能的通知（陕财办会函〔2022〕55号），供应商提交的2023年度或2024年度经审计的完整财务报告中，需附带具备查验功能的二维码。 6.网上引用图片时，需标注来源出处如网址等。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报告（成立时间至提交磋商文件截止时间不足一年的可提供成立后任意时段的资产负债表）或磋商截止日前六个月内基本存款账户开户银行出具的资信证明（附开户许可证或开户证明）（注：各供应商财务状况审计报告需赋加二维码，并附财务状况审计报告扫码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供应商主体资格</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成立时间至提交磋商文件截止时间不足一年的可提供成立后任意时段的资产负债表）或磋商截止日前六个月内基本存款账户开户银行出具的资信证明（附开户许可证或开户证明）（注：各供应商财务状况审计报告需赋加二维码，并附财务状况审计报告扫码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提供磋商截止日前六个月内任意一个月的纳税证明或完税证明（增值税、印花税、城市维护建设费、企业所得税等一种或多种税种），依法免税的单位提供相关证明材料；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提供磋商截止日前六个月内任意一个月的社保资金交纳证明，依法不需要缴纳社保资金的单位提供相关证明材料；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供应商代表资格</w:t>
            </w:r>
          </w:p>
        </w:tc>
        <w:tc>
          <w:tcPr>
            <w:tcW w:type="dxa" w:w="3322"/>
          </w:tcPr>
          <w:p>
            <w:pPr>
              <w:pStyle w:val="null3"/>
            </w:pPr>
            <w:r>
              <w:rPr>
                <w:rFonts w:ascii="仿宋_GB2312" w:hAnsi="仿宋_GB2312" w:cs="仿宋_GB2312" w:eastAsia="仿宋_GB2312"/>
              </w:rPr>
              <w:t>法定代表人直接参加磋商的，须出具法定代表 人身份证明；法定代表人授权代表参加磋商 的，须出具法定代表人授权书；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信誉截图</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构将拒绝其参与政府采购活动，查询结果以纸质方式留存。）（注：网上引用图片时，需标注来源出处如网址等）；</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企业关系关联承诺书</w:t>
            </w:r>
          </w:p>
        </w:tc>
        <w:tc>
          <w:tcPr>
            <w:tcW w:type="dxa" w:w="3322"/>
          </w:tcPr>
          <w:p>
            <w:pPr>
              <w:pStyle w:val="null3"/>
            </w:pPr>
            <w:r>
              <w:rPr>
                <w:rFonts w:ascii="仿宋_GB2312" w:hAnsi="仿宋_GB2312" w:cs="仿宋_GB2312" w:eastAsia="仿宋_GB2312"/>
              </w:rPr>
              <w:t>提供企业关系关联承诺书；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供应商需具备国家测绘行政主管部门颁发的测绘乙级（含乙级）或以上资质；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供应商名称与营业执照、事业单位法人证书、专业服务机构执业许可证或民办非企业单位登记证书（自然人参与的提供其身份证明）及资质证书一致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投标函签字盖章</w:t>
            </w:r>
          </w:p>
        </w:tc>
        <w:tc>
          <w:tcPr>
            <w:tcW w:type="dxa" w:w="3322"/>
          </w:tcPr>
          <w:p>
            <w:pPr>
              <w:pStyle w:val="null3"/>
            </w:pPr>
            <w:r>
              <w:rPr>
                <w:rFonts w:ascii="仿宋_GB2312" w:hAnsi="仿宋_GB2312" w:cs="仿宋_GB2312" w:eastAsia="仿宋_GB2312"/>
              </w:rPr>
              <w:t>有法定代表人或其委托代理人签字（或盖章） 并加盖单位公章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符合竞争性磋商响应文件格式的要求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符合采购人招标规定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符合采购人招标规定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符合采购人招标规定</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针对本项目的服务需求、服务要点、服务内容及标准、人员的各岗位工作职能及应对客户特殊性质需要的针对性方案等要求有深刻的理解和分析。 1.理解深入，分析合理，针对性强、得8分； 2.基本理解，分析较合理，有一定的针对性得6分； 3.理解有所偏差，分析较合理，但针对性较差得4分； 4.理解有所偏差，分析不够合理，且未表述出针对性得2分； 5.不了解或未提供得0分。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整体工作方案</w:t>
            </w:r>
          </w:p>
        </w:tc>
        <w:tc>
          <w:tcPr>
            <w:tcW w:type="dxa" w:w="2492"/>
          </w:tcPr>
          <w:p>
            <w:pPr>
              <w:pStyle w:val="null3"/>
            </w:pPr>
            <w:r>
              <w:rPr>
                <w:rFonts w:ascii="仿宋_GB2312" w:hAnsi="仿宋_GB2312" w:cs="仿宋_GB2312" w:eastAsia="仿宋_GB2312"/>
              </w:rPr>
              <w:t>根据供应商对制定的总体工作方案进行评分： 1.全部响应采购要求与技术要求，方案详细、科学合理得10分； 2.响应采购要求与技术要求，方案较为详细、科学合理得8分， 3.响应采购要求与技术要求，比较齐全、合理可行得6分； 4.基本响应采购要求与技术要求得4分； 5.合理性一般，可行性一般的得2分； 未提供或方案偏差过大得0分。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根据供应商对本项目的关键性技术、重点难点的解决方案进行评分： 1.针对本项目关键技术、重点、难点的解决方案科学合理、完善、全面、具体、有亮点、可行性强，得7分； 2.针对本项目关键技术、重点、难点的解决方案科学合理、完善、全面、具体，得5分； 3.针对本项目关键技术、重点、难点的解决方案全面但不具体、可行性一般，得3分； 4.针对本项目关键技术、重点、难点的解决方案不够完善、无亮点、可行性较差，得1分。 5.未提供或方案偏差过大得0分。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进度计划及保障方案</w:t>
            </w:r>
          </w:p>
        </w:tc>
        <w:tc>
          <w:tcPr>
            <w:tcW w:type="dxa" w:w="2492"/>
          </w:tcPr>
          <w:p>
            <w:pPr>
              <w:pStyle w:val="null3"/>
            </w:pPr>
            <w:r>
              <w:rPr>
                <w:rFonts w:ascii="仿宋_GB2312" w:hAnsi="仿宋_GB2312" w:cs="仿宋_GB2312" w:eastAsia="仿宋_GB2312"/>
              </w:rPr>
              <w:t>根据各供应商提供的进度计划及进度保障措施进行评分： 1.进度计划及进度保障措施全面、详细、明确、可操作性强，得6分； 2.进度计划及进度保障措施较全面，但不够详细、明确、可操作性较强的，得4分； 3.进度计划及进度保障措施不全面，不够详细、明确、可操作性不强的，得2分； 4.无相关内容不得分。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根据各供应商提供的质量保障措施、承诺进行评分： 1.质量保障措施、服务承诺全面、详细、明确、可操作性强，得7分； 2.质量保障措施、承诺较全面，不够详细、明确、可操作性较强的，得5分； 3.质量保障措施、承诺基本全面，不够详细、明确、基本可操作，得3分； 4.质量保障措施、承诺不够全面，不够详细、明确、可操作性不强的，得1分； 5.无相关内容不得分。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信息保密方案及措施</w:t>
            </w:r>
          </w:p>
        </w:tc>
        <w:tc>
          <w:tcPr>
            <w:tcW w:type="dxa" w:w="2492"/>
          </w:tcPr>
          <w:p>
            <w:pPr>
              <w:pStyle w:val="null3"/>
            </w:pPr>
            <w:r>
              <w:rPr>
                <w:rFonts w:ascii="仿宋_GB2312" w:hAnsi="仿宋_GB2312" w:cs="仿宋_GB2312" w:eastAsia="仿宋_GB2312"/>
              </w:rPr>
              <w:t>针对本项目数据及成果的信息保密出具整体方案及对应措施。 1.方案考虑全面，措施合理有效，执行性强得6分； 2.方案考虑基本完善，措施有效，执行性强得4分； 3.方案较为简略，但措施有效，可执行得2分； 4.未提供或执行性弱得0分。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根据供应商提供的对成果文件的准确性、服务时限内团队稳定性、人员到位情况、服务质量等相关内容做出的承诺进行赋分。 1.承诺全面、详实，服务质量配合承诺清晰明确，得6分； 2.承诺较为详实全面，服务质量配合承诺基本完善，得4分； 3.承诺不全面，服务质量配合承诺较为简略，得2分； 4.无相关的承诺得0分。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服务团队岗位设置</w:t>
            </w:r>
          </w:p>
        </w:tc>
        <w:tc>
          <w:tcPr>
            <w:tcW w:type="dxa" w:w="2492"/>
          </w:tcPr>
          <w:p>
            <w:pPr>
              <w:pStyle w:val="null3"/>
            </w:pPr>
            <w:r>
              <w:rPr>
                <w:rFonts w:ascii="仿宋_GB2312" w:hAnsi="仿宋_GB2312" w:cs="仿宋_GB2312" w:eastAsia="仿宋_GB2312"/>
              </w:rPr>
              <w:t>1.组织结构健全，有完善的岗位制度和岗位职责，人员安排合理、分工明确，可操作性强，得6分； 2.供应商组织结构较为健全，有较为完善的岗位制度和岗位职责，人员安排及分工较为合理，具有一定的操作性，得4分； 3.供应商组织结构不够健全，岗位制度和岗位职责不够完善，得2分； 4.未提供或方案偏差过大得0分。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服务团队人员</w:t>
            </w:r>
          </w:p>
        </w:tc>
        <w:tc>
          <w:tcPr>
            <w:tcW w:type="dxa" w:w="2492"/>
          </w:tcPr>
          <w:p>
            <w:pPr>
              <w:pStyle w:val="null3"/>
            </w:pPr>
            <w:r>
              <w:rPr>
                <w:rFonts w:ascii="仿宋_GB2312" w:hAnsi="仿宋_GB2312" w:cs="仿宋_GB2312" w:eastAsia="仿宋_GB2312"/>
              </w:rPr>
              <w:t>根据拟派服务团队的人员数量、专业技术能力、从业经历等赋分。 1.人员经验丰富、配备合理充足，证明材料齐全得6分； 2.人员有一定经验、人员配备无严重缺漏，但有证明材料得4分； 3.人员缺乏经验、配备情况无法充分完成服务工作，且证明材料不足得2分； 4.未提供或人员配备完全无法胜任本项目工作的得0分。（服务团队人员需具备测量专业相关技术职称）</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应急方案编制合理、清晰、明确、有效。 1.应急方案详尽、全面、有效、合理，措施可实施性强，得6分； 2.应急方案有效、合理，措施具有一定实施性，得4分； 3.应急方案具有实施性，得2分。 4.应急措施不合理或未提供，得0分。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特色服务</w:t>
            </w:r>
          </w:p>
        </w:tc>
        <w:tc>
          <w:tcPr>
            <w:tcW w:type="dxa" w:w="2492"/>
          </w:tcPr>
          <w:p>
            <w:pPr>
              <w:pStyle w:val="null3"/>
            </w:pPr>
            <w:r>
              <w:rPr>
                <w:rFonts w:ascii="仿宋_GB2312" w:hAnsi="仿宋_GB2312" w:cs="仿宋_GB2312" w:eastAsia="仿宋_GB2312"/>
              </w:rPr>
              <w:t>供应商提供实质性的特色服务方案。 1.特色服务内容合理、能够根据采购人特质具备针对性的得6分； 2.供应商提供特色服务方案内容较基本完善可行，但针对性不足的得4分； 3.供应商提供特色服务方案内容较少，但基本可行得2分； 4.供应商未提供得0分。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供应商可根据自身情况及项目特征，做出本项目的合理化建议。 1.合理化建议详尽、全面、有效、合理，可实施性强，得6分； 2.合理化建议有效、合理、可实施，得4分； 3.合理化建议基本有效，但可实施性有所欠缺，得2分； 4.不合理或未提供得0分。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2022年1月1日至今同类项目的业绩，提供合同复印件并加盖公章，每提供1份有效业绩得2分，共10分，未提供的不得分。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1.满足磋商文件实质性要求且最终报价最低的供应商的价格为磋商基准价，其价格分为满分10分。2.磋商总报价得分=(磋商基准价／最终磋商总报价)×10。注：计算分数时四舍五入取小数点后两位。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1.经初审合格的磋商响应文件，通过符合性审查的磋商报价为有效磋商价。对符合政策性扣减的有效磋商报价进行政策性扣减，并依据扣减后的价格（评审价格）进行价格评审。 2.满足磋商文件实质性要求且最终报价最低的供应商的价格为磋商基准价，其价格分为满分10分。 3.磋商报价得分=（磋商基准价/最终磋商报价）×10的公式计算得分。注：监狱企业与残疾人福利性单位视同小型、微型企业，享受同等价格扣除，当企业属性重复时，不重复价格扣除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详见附件：响应文件格式.docx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详见附件：西安市工程建设项目多测合一合同.docx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