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5FF053">
      <w:pPr>
        <w:tabs>
          <w:tab w:val="left" w:pos="7839"/>
        </w:tabs>
        <w:jc w:val="center"/>
        <w:outlineLvl w:val="9"/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  <w:t>其它说明</w:t>
      </w:r>
    </w:p>
    <w:p w14:paraId="33AE0828">
      <w:pPr>
        <w:pStyle w:val="2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1.依据招标文件要求，供应商认为有必要说明的其他内容</w:t>
      </w:r>
    </w:p>
    <w:p w14:paraId="009E4F90">
      <w:r>
        <w:rPr>
          <w:rFonts w:hint="eastAsia" w:ascii="仿宋" w:hAnsi="仿宋" w:eastAsia="仿宋" w:cs="仿宋"/>
          <w:sz w:val="24"/>
          <w:szCs w:val="24"/>
          <w:highlight w:val="none"/>
        </w:rPr>
        <w:t>2.其他可以证明供应商实力的文件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260C4"/>
    <w:rsid w:val="2E226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2025-07-14T05:58:00Z</dcterms:created>
  <dc:creator>苍白假面</dc:creator>
  <cp:lastModifiedBy>苍白假面</cp:lastModifiedBy>
  <dcterms:modified xsi:type="dcterms:W3CDTF">2025-07-14T05:58:58Z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22E0C9A6857844C280EBF4B6D647E1FE_11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