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版本号：HRC-ZBDL-2025-0095520250716001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2025年西电片区供应地块地价评估服务项目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HRC-ZBDL-2025-00955</w:t>
      </w:r>
      <w:r>
        <w:br/>
      </w:r>
      <w:r>
        <w:br/>
      </w:r>
      <w:r>
        <w:br/>
      </w:r>
    </w:p>
    <w:p>
      <w:pPr>
        <w:pStyle w:val="null3"/>
        <w:jc w:val="center"/>
        <w:outlineLvl w:val="2"/>
      </w:pPr>
      <w:r>
        <w:rPr>
          <w:rFonts w:ascii="仿宋_GB2312" w:hAnsi="仿宋_GB2312" w:cs="仿宋_GB2312" w:eastAsia="仿宋_GB2312"/>
          <w:sz w:val="28"/>
          <w:b/>
        </w:rPr>
        <w:t>西安大兴新区开发建设管理委员会</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西安大兴新区开发建设管理委员会</w:t>
      </w:r>
      <w:r>
        <w:rPr>
          <w:rFonts w:ascii="仿宋_GB2312" w:hAnsi="仿宋_GB2312" w:cs="仿宋_GB2312" w:eastAsia="仿宋_GB2312"/>
        </w:rPr>
        <w:t>委托，拟对</w:t>
      </w:r>
      <w:r>
        <w:rPr>
          <w:rFonts w:ascii="仿宋_GB2312" w:hAnsi="仿宋_GB2312" w:cs="仿宋_GB2312" w:eastAsia="仿宋_GB2312"/>
        </w:rPr>
        <w:t>2025年西电片区供应地块地价评估服务项目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HRC-ZBDL-2025-00955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2025年西电片区供应地块地价评估服务项目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莲湖区西电片区城市发展与改造更新开发实施方案，2025年计划报批供应363亩土地（其中西站5个地块，西电东区3个地块），按照编制土地供应方案相关工作要求,需委托第三方机构开展计划地块地价评估工作，评估结果作为编制土地供应方案的依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采购包1（2025年西电片区供应地块地价评估服务项目）：属于专门面向中小企业采购。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财务状况报告：提供2024年度经审计的完整财务报告（成立时间至提交磋商文件截止时间不足一年的可提供成立后任意时段的资产负债表）或磋商截止日前六个月内基本存款账户开户银行出具的资信证明（附开户许可证或开户证明）（注：各供应商财务状况审计报告需赋加二维码，并附财务状况审计报告扫码截图）</w:t>
      </w:r>
    </w:p>
    <w:p>
      <w:pPr>
        <w:pStyle w:val="null3"/>
      </w:pPr>
      <w:r>
        <w:rPr>
          <w:rFonts w:ascii="仿宋_GB2312" w:hAnsi="仿宋_GB2312" w:cs="仿宋_GB2312" w:eastAsia="仿宋_GB2312"/>
        </w:rPr>
        <w:t>3、税收缴纳证明：提供磋商截止日前六个月内任意一个月的纳税证明或完税证明（增值税、印花税、城市维护建设费、企业所得税等一种或多种税种），依法免税的单位提供相关证明材料；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4、社会保障资金缴纳证明：提供磋商截止日前六个月内任意一个月的社保资金交纳证明，依法不需要缴纳社保资金的单位提供相关证明材料；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5、没有重大违法记录的书面声明：参加本次政府采购活动前三年内在经营活动中没有重大违法记录的书面声明；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7、供应商代表资格：法定代表人直接参加磋商的，须出具法定代表 人身份证明；法定代表人授权代表参加磋商的，须出具法定代表人授权书；</w:t>
      </w:r>
    </w:p>
    <w:p>
      <w:pPr>
        <w:pStyle w:val="null3"/>
      </w:pPr>
      <w:r>
        <w:rPr>
          <w:rFonts w:ascii="仿宋_GB2312" w:hAnsi="仿宋_GB2312" w:cs="仿宋_GB2312" w:eastAsia="仿宋_GB2312"/>
        </w:rPr>
        <w:t>8、信誉截图：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注：网上引用图片时，需标注来源出处如网址等）；</w:t>
      </w:r>
    </w:p>
    <w:p>
      <w:pPr>
        <w:pStyle w:val="null3"/>
      </w:pPr>
      <w:r>
        <w:rPr>
          <w:rFonts w:ascii="仿宋_GB2312" w:hAnsi="仿宋_GB2312" w:cs="仿宋_GB2312" w:eastAsia="仿宋_GB2312"/>
        </w:rPr>
        <w:t>9、企业资质：供应商需具备自然资源行政主管部门关于土地估价机构的备案函</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西安大兴新区开发建设管理委员会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陕西省西安市莲湖区西安市莲湖区沣惠北路123号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西安大兴新区开发建设管理委员会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02982591551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18066891049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代理服务费收费标准：招标代理服务费参照《招标代理服务收费管理暂行办法》（计价格[2002]1980号）、国家发展改革委员会办公厅颁发的《关于招标代理服务收费有关问题的通知》（发改办价格[2003] 857号）、《国家发展改革委关于降低部分建设项目收费标准规范收费行为等有关问题的通知》（发改价格[2011]534号）的标准的 90 %收取。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西安大兴新区开发建设管理委员会</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西安大兴新区开发建设管理委员会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西安大兴新区开发建设管理委员会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联系人：周泉</w:t>
      </w:r>
    </w:p>
    <w:p>
      <w:pPr>
        <w:pStyle w:val="null3"/>
      </w:pPr>
      <w:r>
        <w:rPr>
          <w:rFonts w:ascii="仿宋_GB2312" w:hAnsi="仿宋_GB2312" w:cs="仿宋_GB2312" w:eastAsia="仿宋_GB2312"/>
        </w:rPr>
        <w:t>联系电话：18066891049</w:t>
      </w:r>
    </w:p>
    <w:p>
      <w:pPr>
        <w:pStyle w:val="null3"/>
      </w:pPr>
      <w:r>
        <w:rPr>
          <w:rFonts w:ascii="仿宋_GB2312" w:hAnsi="仿宋_GB2312" w:cs="仿宋_GB2312" w:eastAsia="仿宋_GB2312"/>
        </w:rPr>
        <w:t>地址：西安市曲江新城区雁翔路3269号【旺座·曲江】E座29层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莲湖区西电片区城市发展与改造更新开发实施方案，2025年计划报批供应363亩土地（其中西站5个地块，西电东区3个地块），按照编制土地供应方案相关工作要求,需委托第三方机构开展计划地块地价评估工作，评估结果作为编制土地供应方案的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703,000.00</w:t>
      </w:r>
    </w:p>
    <w:p>
      <w:pPr>
        <w:pStyle w:val="null3"/>
      </w:pPr>
      <w:r>
        <w:rPr>
          <w:rFonts w:ascii="仿宋_GB2312" w:hAnsi="仿宋_GB2312" w:cs="仿宋_GB2312" w:eastAsia="仿宋_GB2312"/>
        </w:rPr>
        <w:t>采购包最高限价（元）: 693,100.00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2025年西电片区供应地块地价评估服务项目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标的名称：2025年西电片区供应地块地价评估服务项目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3"/>
              <w:gridCol w:w="497"/>
              <w:gridCol w:w="482"/>
              <w:gridCol w:w="641"/>
              <w:gridCol w:w="720"/>
            </w:tblGrid>
            <w:tr>
              <w:tc>
                <w:tcPr>
                  <w:tcW w:type="dxa" w:w="20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97"/>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项目地块名称</w:t>
                  </w:r>
                </w:p>
              </w:tc>
              <w:tc>
                <w:tcPr>
                  <w:tcW w:type="dxa" w:w="48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地块面积（亩）</w:t>
                  </w:r>
                </w:p>
              </w:tc>
              <w:tc>
                <w:tcPr>
                  <w:tcW w:type="dxa" w:w="64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w:t>
                  </w:r>
                </w:p>
                <w:p>
                  <w:pPr>
                    <w:pStyle w:val="null3"/>
                    <w:jc w:val="center"/>
                  </w:pPr>
                  <w:r>
                    <w:rPr>
                      <w:rFonts w:ascii="仿宋_GB2312" w:hAnsi="仿宋_GB2312" w:cs="仿宋_GB2312" w:eastAsia="仿宋_GB2312"/>
                      <w:sz w:val="21"/>
                      <w:color w:val="000000"/>
                    </w:rPr>
                    <w:t>内容</w:t>
                  </w:r>
                </w:p>
              </w:tc>
              <w:tc>
                <w:tcPr>
                  <w:tcW w:type="dxa" w:w="72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XD-DK1</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6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对西电片区</w:t>
                  </w:r>
                  <w:r>
                    <w:rPr>
                      <w:rFonts w:ascii="仿宋_GB2312" w:hAnsi="仿宋_GB2312" w:cs="仿宋_GB2312" w:eastAsia="仿宋_GB2312"/>
                      <w:sz w:val="21"/>
                      <w:color w:val="000000"/>
                    </w:rPr>
                    <w:t>2025年供应土地提供土地评估服务并出具评估报告；</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相关政策咨询服务。</w:t>
                  </w:r>
                </w:p>
                <w:p>
                  <w:pPr>
                    <w:pStyle w:val="null3"/>
                    <w:jc w:val="left"/>
                  </w:pPr>
                </w:p>
              </w:tc>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所列计划项目地块为计划地块。若土地供应计划执行中根据西电东区项目推进进展和管委会实际需求有变，该项目中地块应做相应的调整，最终以管委会实际委托评估地块为准。</w:t>
                  </w:r>
                </w:p>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XD-DK13</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641"/>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XD-DK16</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641"/>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XZ-DK1</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641"/>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XZ-DK2</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641"/>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XZ-DK3</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641"/>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XZ-DK4</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41"/>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XZ-DK5</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41"/>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7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r>
                    <w:rPr>
                      <w:rFonts w:ascii="仿宋_GB2312" w:hAnsi="仿宋_GB2312" w:cs="仿宋_GB2312" w:eastAsia="仿宋_GB2312"/>
                      <w:sz w:val="21"/>
                      <w:color w:val="000000"/>
                    </w:rPr>
                    <w:t>合计</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363</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符合项目实际需求，项目团队成员具有注册估价师（土地或房产）证书。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符合项目实际需求，提供与本项目相适应的专业设施和设备。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出具的土地估价报告符合《城镇土地估价规程》（GB/T18508-2014）、《城镇土地分等定级规程》（GB/T18507-2014）、《自然资源价格评估通则》（TD/T1061-2021）、《国有建设用地使用权出让地价评估技术规范》、《土地估价参数调查测算指引》（T/CREVA 1101-2023）、《划拨国有建设用地使用权地价评估指导意见（试行）》等技术规范及西安市自然资源和规划局审批标准技术要求。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自合同签订之日起至2025年12月31日止。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执行现行的国家标准或国家行政部门颁布的法律法规、规章制度等，是项目验收的另一个重要依据。没有国家标准的，可以参考行业标准。 （1）《国有建设用地使用权出让地价评估技术规范》 （2）《划拨国有建设用地使用权地价评估指导意见（试行）》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按照工作进度以季度支付（第三季度）。根据采购方出具的委托确认书委托的工作量按折扣率据实结算费用，评估成果验收合格并双方结算书面确认后乙方开具同等增值税发票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按照工作进度以季度支付（第四季度）。根据采购方出具的委托确认书委托的工作量按折扣率据实结算费用，评估成果验收合格并双方结算书面确认后乙方开具同等增值税发票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 乙方未按合同要求提供土地评估服务或土地评估服务质量不能满足合同要求的，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报价方式为投标总价和折扣率报价，各投标人在报价时根据采购内容、行业标准相关信息以及企业自身情况，确定投标总价及投标折扣率；在最终结算时根据实际委托工作量据实结算，最终结算价：根据单宗地块合同结算价格以及实际服务数量据实结算，单宗地块合同结算价格=《关于土地价格评估收费的通知》（计价格[1994]2017号）规定的计费标准*折扣率，折扣率在合同执行期间不做调整。各供应商所有分项报价（与最后磋商报价比例一致）同比例下浮。 2.本项目属性为服务。 3.本项目合同包1采购标的所属行业为：其他为列明行业； 4.本项目在开标前各供应商应将纸质版（一正二副）磋商响应文件及电子版U盘1个送达至代理机构。 5.根据陕西省财政厅关于启用会计师事务所审计报告“二维码”赋码查验功能的通知（陕财办会函〔2022〕55号），供应商提交的2024年度经审计的完整财务报告中，需附带具备查验功能的二维码。 6.网上引用图片时，需标注来源出处如网址等。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响应文件格式格式.docx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成立时间至提交磋商文件截止时间不足一年的可提供成立后任意时段的资产负债表）或磋商截止日前六个月内基本存款账户开户银行出具的资信证明（附开户许可证或开户证明）（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成立时间至提交磋商文件截止时间不足一年的可提供成立后任意时段的资产负债表）或磋商截止日前六个月内基本存款账户开户银行出具的资信证明（附开户许可证或开户证明）（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供应商代表资格</w:t>
            </w:r>
          </w:p>
        </w:tc>
        <w:tc>
          <w:tcPr>
            <w:tcW w:type="dxa" w:w="3322"/>
          </w:tcPr>
          <w:p>
            <w:pPr>
              <w:pStyle w:val="null3"/>
            </w:pPr>
            <w:r>
              <w:rPr>
                <w:rFonts w:ascii="仿宋_GB2312" w:hAnsi="仿宋_GB2312" w:cs="仿宋_GB2312" w:eastAsia="仿宋_GB2312"/>
              </w:rPr>
              <w:t>法定代表人直接参加磋商的，须出具法定代表 人身份证明；法定代表人授权代表参加磋商的，须出具法定代表人授权书；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注：网上引用图片时，需标注来源出处如网址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供应商需具备自然资源行政主管部门关于土地估价机构的备案函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供应商名称与营业执照、事业单位法人证书、专业服务机构执业许可证或民办非企业单位登记证书（自然人参与的提供其身份证明）及资质证书一致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响应文件格式格式.docx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投标函签字盖章</w:t>
            </w:r>
          </w:p>
        </w:tc>
        <w:tc>
          <w:tcPr>
            <w:tcW w:type="dxa" w:w="3322"/>
          </w:tcPr>
          <w:p>
            <w:pPr>
              <w:pStyle w:val="null3"/>
            </w:pPr>
            <w:r>
              <w:rPr>
                <w:rFonts w:ascii="仿宋_GB2312" w:hAnsi="仿宋_GB2312" w:cs="仿宋_GB2312" w:eastAsia="仿宋_GB2312"/>
              </w:rPr>
              <w:t>有法定代表人或其委托代理人签字（或盖章） 并加盖单位公章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响应文件格式格式.docx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符合竞争性磋商响应文件格式的要求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响应文件格式格式.docx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响应文件格式格式.docx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符合采购人招标规定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符合采购人招标规定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符合采购人招标规定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针对本项目的服务需求、服务要点、服务内容及标准、人员的各岗位工作职能及应对客户特殊性质需要的针对性方案等要求有深刻的理解和分析。 1.理解深入，分析合理，针对性强、得8分； 2.基本理解，分析较合理，有一定的针对性得6分； 3.理解有所偏差，分析较合理，但针对性较差得4分； 4.理解有所偏差，分析不够合理，且未表述出针对性得2分； 5.不了解或未提供得0分。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整体工作方案</w:t>
            </w:r>
          </w:p>
        </w:tc>
        <w:tc>
          <w:tcPr>
            <w:tcW w:type="dxa" w:w="2492"/>
          </w:tcPr>
          <w:p>
            <w:pPr>
              <w:pStyle w:val="null3"/>
            </w:pPr>
            <w:r>
              <w:rPr>
                <w:rFonts w:ascii="仿宋_GB2312" w:hAnsi="仿宋_GB2312" w:cs="仿宋_GB2312" w:eastAsia="仿宋_GB2312"/>
              </w:rPr>
              <w:t>根据供应商对制定的总体工作方案进行评分： 1.全部响应采购要求与技术要求，方案详细、科学合理得10分； 2.响应采购要求与技术要求，方案较为详细、科学合理得8分， 3.响应采购要求与技术要求，比较齐全、合理可行得6分； 4.基本响应采购要求与技术要求得4分； 5.合理性一般，可行性一般的得2分； 未提供或方案偏差过大得0分。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根据供应商对本项目的关键性技术、重点难点的解决方案进行评分： 1.针对本项目关键技术、重点、难点的解决方案科学合理、完善、全面、具体、有亮点、可行性强，得7分； 2.针对本项目关键技术、重点、难点的解决方案科学合理、完善、全面、具体，得5分； 3.针对本项目关键技术、重点、难点的解决方案全面但不具体、可行性一般，得3分； 4.针对本项目关键技术、重点、难点的解决方案不够完善、无亮点、可行性较差，得1分。 5.未提供或方案偏差过大得0分。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进度计划及保障方案</w:t>
            </w:r>
          </w:p>
        </w:tc>
        <w:tc>
          <w:tcPr>
            <w:tcW w:type="dxa" w:w="2492"/>
          </w:tcPr>
          <w:p>
            <w:pPr>
              <w:pStyle w:val="null3"/>
            </w:pPr>
            <w:r>
              <w:rPr>
                <w:rFonts w:ascii="仿宋_GB2312" w:hAnsi="仿宋_GB2312" w:cs="仿宋_GB2312" w:eastAsia="仿宋_GB2312"/>
              </w:rPr>
              <w:t>根据各供应商提供的进度计划及进度保障措施进行评分： 1.进度计划及进度保障措施全面、详细、明确、可操作性强，得6分； 2.进度计划及进度保障措施较全面，但不够详细、明确、可操作性较强的，得4分； 3.进度计划及进度保障措施不全面，不够详细、明确、可操作性不强的，得2分； 4.无相关内容不得分。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根据各供应商提供的质量保障措施、承诺进行评分： 1.质量保障措施、服务承诺全面、详细、明确、可操作性强，得7分； 2.质量保障措施、承诺较全面，不够详细、明确、可操作性较强的，得5分； 3.质量保障措施、承诺基本全面，不够详细、明确、基本可操作，得3分； 4.质量保障措施、承诺不够全面，不够详细、明确、可操作性不强的，得1分； 5.无相关内容不得分。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信息保密方案及措施</w:t>
            </w:r>
          </w:p>
        </w:tc>
        <w:tc>
          <w:tcPr>
            <w:tcW w:type="dxa" w:w="2492"/>
          </w:tcPr>
          <w:p>
            <w:pPr>
              <w:pStyle w:val="null3"/>
            </w:pPr>
            <w:r>
              <w:rPr>
                <w:rFonts w:ascii="仿宋_GB2312" w:hAnsi="仿宋_GB2312" w:cs="仿宋_GB2312" w:eastAsia="仿宋_GB2312"/>
              </w:rPr>
              <w:t>针对本项目数据及成果的信息保密出具整体方案及对应措施。 1.方案考虑全面，措施合理有效，执行性强得6分； 2.方案考虑基本完善，措施有效，执行性强得4分； 3.方案较为简略，但措施有效，可执行得2分； 4.未提供或执行性弱得0分。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根据供应商提供的对成果文件的准确性、服务时限内团队稳定性、人员到位情况、服务质量等相关内容做出的承诺进行赋分。 1.承诺全面、详实，服务质量配合承诺清晰明确，得6分； 2.承诺较为详实全面，服务质量配合承诺基本完善，得4分； 3.承诺不全面，服务质量配合承诺较为简略，得2分； 4.无相关的承诺得0分。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服务团队岗位设置</w:t>
            </w:r>
          </w:p>
        </w:tc>
        <w:tc>
          <w:tcPr>
            <w:tcW w:type="dxa" w:w="2492"/>
          </w:tcPr>
          <w:p>
            <w:pPr>
              <w:pStyle w:val="null3"/>
            </w:pPr>
            <w:r>
              <w:rPr>
                <w:rFonts w:ascii="仿宋_GB2312" w:hAnsi="仿宋_GB2312" w:cs="仿宋_GB2312" w:eastAsia="仿宋_GB2312"/>
              </w:rPr>
              <w:t>1.组织结构健全，有完善的岗位制度和岗位职责，人员安排合理、分工明确，可操作性强，得6分； 2.供应商组织结构较为健全，有较为完善的岗位制度和岗位职责，人员安排及分工较为合理，具有一定的操作性，得4分； 3.供应商组织结构不够健全，岗位制度和岗位职责不够完善，得2分； 4.未提供或方案偏差过大得0分。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根据拟派服务团队的人员数量、专业技术能力、从业经历等赋分。 1.人员经验丰富、配备合理充足，证明材料齐全得6分； 2.人员有一定经验、人员配备无严重缺漏，但有证明材料得4分； 3.人员缺乏经验、配备情况无法充分完成服务工作，且证明材料不足得2分； 4.未提供或人员配备完全无法胜任本项目工作的得0分。（服务团队人员需具备注册估价师（土地或房产）证书）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应急方案编制合理、清晰、明确、有效。 1.应急方案详尽、全面、有效、合理，措施可实施性强，得6分； 2.应急方案有效、合理，措施具有一定实施性，得4分； 3.应急方案具有实施性，得2分。 4.应急措施不合理或未提供，得0分。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特色服务</w:t>
            </w:r>
          </w:p>
        </w:tc>
        <w:tc>
          <w:tcPr>
            <w:tcW w:type="dxa" w:w="2492"/>
          </w:tcPr>
          <w:p>
            <w:pPr>
              <w:pStyle w:val="null3"/>
            </w:pPr>
            <w:r>
              <w:rPr>
                <w:rFonts w:ascii="仿宋_GB2312" w:hAnsi="仿宋_GB2312" w:cs="仿宋_GB2312" w:eastAsia="仿宋_GB2312"/>
              </w:rPr>
              <w:t>供应商提供实质性的特色服务方案。 1.特色服务内容合理、能够根据采购人特质具备针对性的得6分； 2.供应商提供特色服务方案内容较基本完善可行，但针对性不足的得4分； 3.供应商提供特色服务方案内容较少，但基本可行得2分； 4.供应商未提供得0分。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供应商可根据自身情况及项目特征，做出本项目的合理化建议。 1.合理化建议详尽、全面、有效、合理，可实施性强，得6分； 2.合理化建议有效、合理、可实施，得4分； 3.合理化建议基本有效，但可实施性有所欠缺，得2分； 4.不合理或未提供得0分。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2022年1月1日至今同类项目的业绩，提供合同复印件并加盖公章，每提供1份有效业绩得2分，共10分，未提供的不得分。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详见附件：响应文件格式格式.docx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 同 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