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版本号：YCXM-202511120250721001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莲湖区西关街办民航社区全民健身示范社区建设</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YCXM-2025111</w:t>
      </w:r>
      <w:r>
        <w:br/>
      </w:r>
      <w:r>
        <w:br/>
      </w:r>
      <w:r>
        <w:br/>
      </w:r>
    </w:p>
    <w:p>
      <w:pPr>
        <w:pStyle w:val="null3"/>
        <w:jc w:val="center"/>
        <w:outlineLvl w:val="2"/>
      </w:pPr>
      <w:r>
        <w:rPr>
          <w:rFonts w:ascii="仿宋_GB2312" w:hAnsi="仿宋_GB2312" w:cs="仿宋_GB2312" w:eastAsia="仿宋_GB2312"/>
          <w:sz w:val="28"/>
          <w:b/>
        </w:rPr>
        <w:t>西安市莲湖区文化和旅游体育局</w:t>
      </w:r>
    </w:p>
    <w:p>
      <w:pPr>
        <w:pStyle w:val="null3"/>
        <w:jc w:val="center"/>
        <w:outlineLvl w:val="2"/>
      </w:pPr>
      <w:r>
        <w:rPr>
          <w:rFonts w:ascii="仿宋_GB2312" w:hAnsi="仿宋_GB2312" w:cs="仿宋_GB2312" w:eastAsia="仿宋_GB2312"/>
          <w:sz w:val="28"/>
          <w:b/>
        </w:rPr>
        <w:t>陕西玥诚工程项目管理有限公司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陕西玥诚工程项目管理有限公司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西安市莲湖区文化和旅游体育局</w:t>
      </w:r>
      <w:r>
        <w:rPr>
          <w:rFonts w:ascii="仿宋_GB2312" w:hAnsi="仿宋_GB2312" w:cs="仿宋_GB2312" w:eastAsia="仿宋_GB2312"/>
        </w:rPr>
        <w:t>委托，拟对</w:t>
      </w:r>
      <w:r>
        <w:rPr>
          <w:rFonts w:ascii="仿宋_GB2312" w:hAnsi="仿宋_GB2312" w:cs="仿宋_GB2312" w:eastAsia="仿宋_GB2312"/>
        </w:rPr>
        <w:t>莲湖区西关街办民航社区全民健身示范社区建设</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YCXM-2025111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莲湖区西关街办民航社区全民健身示范社区建设</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莲湖区西关街办民航社区全民健身示范社区建设，对原有全民健身基础设施进行提升改造。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采购包1（莲湖区西关街办民航社区全民健身示范社区建设）：属于专门面向中小企业采购。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1、营业执照：供应商应具有独立承担民事责任能力的法人、 其他组织或自然人，并出具合法有效的营业执照或事业单位法人证书等国家规定的相关证明，自然人参与的提供其身份证明； ：营业执照：供应商应具有独立承担民事责任能力的法人、 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身份证明：法定代表人授权书（附法定代表人、被授权人身份证复印件）（法定代表人直接参加投标，须提供法定代表人身份证明及身份证复印件）；：身份证明：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良好的商业信誉和健全的财务会计制度：供应商应提供2024年度经审计的财务报告（成立时间至提交投标文件截止时间不足一年的可提供成立后任意时段的资产负债表），或提供投标截止时间前三个月内银行出具的资信证明，或信用担保机构出具的投标担保函（以上三种形式的资料提供任何一种即可）：良好的商业信誉和健全的财务会计制度：供应商应提供2024年度经审计的财务报告（成立时间至提交投标文件截止时间不足一年的可提供成立后任意时段的资产负债表），或提供投标截止时间前三个月内银行出具的资信证明，或信用担保机构出具的投标担保函（以上三种形式的资料提供任何一种即可）</w:t>
      </w:r>
    </w:p>
    <w:p>
      <w:pPr>
        <w:pStyle w:val="null3"/>
      </w:pPr>
      <w:r>
        <w:rPr>
          <w:rFonts w:ascii="仿宋_GB2312" w:hAnsi="仿宋_GB2312" w:cs="仿宋_GB2312" w:eastAsia="仿宋_GB2312"/>
        </w:rPr>
        <w:t>4、税收缴纳证明：提供投标人自投标截止日前6个月以内已缴纳任意一个月完税凭证或税务机关开具的完税证明（任意税种）；依法免税的应提供相关文件证明；：税收缴纳证明：提供投标人自投标截止日前6个月以内已缴纳任意一个月完税凭证或税务机关开具的完税证明（任意税种）；依法免税的应提供相关文件证明；</w:t>
      </w:r>
    </w:p>
    <w:p>
      <w:pPr>
        <w:pStyle w:val="null3"/>
      </w:pPr>
      <w:r>
        <w:rPr>
          <w:rFonts w:ascii="仿宋_GB2312" w:hAnsi="仿宋_GB2312" w:cs="仿宋_GB2312" w:eastAsia="仿宋_GB2312"/>
        </w:rPr>
        <w:t>5、社会保障资金缴纳证明：提供投标人自投标截止日前6个月以内已缴存的任意一个月的社会保障资金缴存单据或社保机构开具的社会保险参保缴费情况证明；依法不需要缴纳社会保障资金的投标人应提供相关文件证明；：社会保障资金缴纳证明：提供投标人自投标截止日前6个月以内已缴存的任意一个月的社会保障资金缴存单据或社保机构开具的社会保险参保缴费情况证明；依法不需要缴纳社会保障资金的投标人应提供相关文件证明；</w:t>
      </w:r>
    </w:p>
    <w:p>
      <w:pPr>
        <w:pStyle w:val="null3"/>
      </w:pPr>
      <w:r>
        <w:rPr>
          <w:rFonts w:ascii="仿宋_GB2312" w:hAnsi="仿宋_GB2312" w:cs="仿宋_GB2312" w:eastAsia="仿宋_GB2312"/>
        </w:rPr>
        <w:t>6、参加本次招标前3年内，在政府采购经营活动中没有重大违法记录的书面声明；（格式自拟）：参加本次招标前3年内，在政府采购经营活动中没有重大违法记录的书面声明；（格式自拟）</w:t>
      </w:r>
    </w:p>
    <w:p>
      <w:pPr>
        <w:pStyle w:val="null3"/>
      </w:pPr>
      <w:r>
        <w:rPr>
          <w:rFonts w:ascii="仿宋_GB2312" w:hAnsi="仿宋_GB2312" w:cs="仿宋_GB2312" w:eastAsia="仿宋_GB2312"/>
        </w:rPr>
        <w:t>7、履约能力：具有履行合同所必需的设备和专业技术能力及承诺；（格式自拟）：履约能力：具有履行合同所必需的设备和专业技术能力及承诺；（格式自拟）</w:t>
      </w:r>
    </w:p>
    <w:p>
      <w:pPr>
        <w:pStyle w:val="null3"/>
      </w:pPr>
      <w:r>
        <w:rPr>
          <w:rFonts w:ascii="仿宋_GB2312" w:hAnsi="仿宋_GB2312" w:cs="仿宋_GB2312" w:eastAsia="仿宋_GB2312"/>
        </w:rPr>
        <w:t>8、企业信誉：供应商参加本次政府采购活动前3年内在经营活动中没有重大违纪、未被“信用中国”网站(www.creditchina.gov.cn)、中国政府采购网(www.ccgp.gov.cn)列入失信被执行人、重大税收违法案件当事人名单、政府采购严重违法失信行为记录名单，开标评审将登陆“信用中国”网站（www.creditchina.gov.cn）和“中国政府采购网”（www.ccgp.gov.cn）进行审查。：企业信誉：供应商参加本次政府采购活动前3年内在经营活动中没有重大违纪、未被“信用中国”网站(www.creditchina.gov.cn)、中国政府采购网(www.ccgp.gov.cn)列入失信被执行人、重大税收违法案件当事人名单、政府采购严重违法失信行为记录名单，开标评审将登陆“信用中国”网站（www.creditchina.gov.cn）和“中国政府采购网”（www.ccgp.gov.cn）进行审查。</w:t>
      </w:r>
    </w:p>
    <w:p>
      <w:pPr>
        <w:pStyle w:val="null3"/>
      </w:pPr>
      <w:r>
        <w:rPr>
          <w:rFonts w:ascii="仿宋_GB2312" w:hAnsi="仿宋_GB2312" w:cs="仿宋_GB2312" w:eastAsia="仿宋_GB2312"/>
        </w:rPr>
        <w:t>9、非联合体声明：本项目不接受联合体投标。（格式自拟）：非联合体声明：本项目不接受联合体投标。（格式自拟）</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西安市莲湖区文化和旅游体育局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北院门159号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马国强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029-87295342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陕西玥诚工程项目管理有限公司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西安市雁塔区雁展路莱安中心T7栋10层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卞兴前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13571998475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代理服务费收费标准：按国家发展改革委发布的《关于进一步放开建设项目专业服务价格的通知》(发改价格 (2015) 299 号) 计取，计算方法参照原国家计委颁布的《招标代理服务收费管理暂行办法》(计价格[2002]1980 号)标准计取。具体收费金额将在中标公告中公布。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西安市莲湖区文化和旅游体育局</w:t>
      </w:r>
      <w:r>
        <w:rPr>
          <w:rFonts w:ascii="仿宋_GB2312" w:hAnsi="仿宋_GB2312" w:cs="仿宋_GB2312" w:eastAsia="仿宋_GB2312"/>
        </w:rPr>
        <w:t>和</w:t>
      </w:r>
      <w:r>
        <w:rPr>
          <w:rFonts w:ascii="仿宋_GB2312" w:hAnsi="仿宋_GB2312" w:cs="仿宋_GB2312" w:eastAsia="仿宋_GB2312"/>
        </w:rPr>
        <w:t>陕西玥诚工程项目管理有限公司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西安市莲湖区文化和旅游体育局</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陕西玥诚工程项目管理有限公司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西安市莲湖区文化和旅游体育局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陕西玥诚工程项目管理有限公司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行业标准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陕西玥诚工程项目管理有限公司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陕西玥诚工程项目管理有限公司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陕西玥诚工程项目管理有限公司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联系人：卞兴前</w:t>
      </w:r>
    </w:p>
    <w:p>
      <w:pPr>
        <w:pStyle w:val="null3"/>
      </w:pPr>
      <w:r>
        <w:rPr>
          <w:rFonts w:ascii="仿宋_GB2312" w:hAnsi="仿宋_GB2312" w:cs="仿宋_GB2312" w:eastAsia="仿宋_GB2312"/>
        </w:rPr>
        <w:t>联系电话：13571998475</w:t>
      </w:r>
    </w:p>
    <w:p>
      <w:pPr>
        <w:pStyle w:val="null3"/>
      </w:pPr>
      <w:r>
        <w:rPr>
          <w:rFonts w:ascii="仿宋_GB2312" w:hAnsi="仿宋_GB2312" w:cs="仿宋_GB2312" w:eastAsia="仿宋_GB2312"/>
        </w:rPr>
        <w:t>地址：西安市雁塔区雁展路莱安中心T7栋10层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莲湖区西关街办民航社区全民健身示范社区建设，对原有全民健身基础设施进行提升改造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详见附件</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30个日历日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采购人、供应商双方签订合同后，采购人支付总价款的40%作为预付款 。货到现场安装调试完成及验收合格后，采购人支付剩下60%剩余款项。</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采购人、供应商双方签订合同后，采购人支付总价款的40%作为预付款 。货到现场安装调试完成及验收合格后，采购人支付剩下60%剩余款项。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按标准验收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不少于8年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 2、成交供应商工期每超过一天，扣除成交供应商合同总价款的 2_%,迟交产品超过30天，采购人有权拒收产品。 3、按合同要求提供产品或产品质量不能满足采购技术要求，采购人必须无条件更换产品，提高技术，完善质量，否则，采购人会同 监督机构、采购代理机构有权终止合同并对成交供应商违约行为进行 追究，同时按政府采购成交供应商管理办法进行相应的处罚。 4、任何一方因不可抗力原因不能履行协议时，应尽快通知对方， 双方均设法补偿。如仍无法履约协议，可协商延缓或撤销协议，双方 责任免除。</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本项目采用电子化投标与纸质投标并行的方式，供应商需要于2025年07月25日14时30分00秒前在线提交电子响应文件， 同时线下提交一正 两副纸质版响应文件，纸质响应文件与电子响应文件保持一致。 ①提交纸质版响应文件截止时间：2025年07月25日14时30分00秒（北京时间）； ②提交纸质版响应文件地点：西安市雁塔区雁展路莱安中心T7栋10层； ③提交纸质版响应文件密封要求：谈判响应文件正本、所有副本分开密封装在单独的信封中（封袋不得有破损） ，且在信封上标明“正本 ”、 “副本 ”字样。封袋应加贴封条，并在封线处加盖磋商供应商公章，封袋正面要粘贴供应商名称、项目名称、项目编号等标识。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政府采购促进中小企业发展管理办法》（财库〔2020〕46号）；②《关于进一步加大政府采购支持中小企业力度的通知》（财库〔2022〕19号）；③《财政部司法部关于政府采购支持监狱企业发展有关问题的通知》（财库〔2014〕68号）；④《财政部民政部中国残疾人联合会关于促进残疾人就业政府采购政策的通知》（财库〔2017〕141号）；⑤《财政部国家发展改革委关于印发(节能产品政府采购实施意见)的通知》(财库〔2004〕185号)；⑥《国务院办公厅关于建立政府强制采购节能产品制度的通知》(国办发〔2007〕51号)；⑦《财政部环保总局关于环境标志产品政府采购实施的意见》(财库〔2006〕90号)；⑧《财政部发展改革委生态环境部市场监管总局关于调整优化节能产品、环境标志产品政府采购执行机制的通知》（财库〔2019〕9号）；⑨《关于印发环境标志产品政府采购品目清单的通知》（财库〔2019〕18号）；⑩《关于印发节能产品政府采购品目清单的通知》（财库〔2019〕19号）；⑪《财政部农业农村部国家乡村振兴局关于运用政府采购政策支持乡村产业振兴的通知》（财库〔2021〕19号）；⑫《陕西省财政厅关于印发陕西省中小企业政府采购信用融资办法》（陕财办采〔2018〕23号）；⑬《陕西省财政厅关于加快推进我省中小企业政府采购信用融资工作的通知》（陕财办采〔2020〕15号）。若享受以上政策优惠的企业，提供相应声明函或产品目录。如有最新颁发的政府采购政策，按最新的文件执行。 若享受以上政策优惠的企业，需提供相应声明函或品目清单范围内产品的有效认证证书。</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营业执照：供应商应具有独立承担民事责任能力的法人、 其他组织或自然人，并出具合法有效的营业执照或事业单位法人证书等国家规定的相关证明，自然人参与的提供其身份证明；</w:t>
            </w:r>
          </w:p>
        </w:tc>
        <w:tc>
          <w:tcPr>
            <w:tcW w:type="dxa" w:w="3322"/>
          </w:tcPr>
          <w:p>
            <w:pPr>
              <w:pStyle w:val="null3"/>
            </w:pPr>
            <w:r>
              <w:rPr>
                <w:rFonts w:ascii="仿宋_GB2312" w:hAnsi="仿宋_GB2312" w:cs="仿宋_GB2312" w:eastAsia="仿宋_GB2312"/>
              </w:rPr>
              <w:t>营业执照：供应商应具有独立承担民事责任能力的法人、 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身份证明：法定代表人授权书（附法定代表人、被授权人身份证复印件）（法定代表人直接参加投标，须提供法定代表人身份证明及身份证复印件）；</w:t>
            </w:r>
          </w:p>
        </w:tc>
        <w:tc>
          <w:tcPr>
            <w:tcW w:type="dxa" w:w="3322"/>
          </w:tcPr>
          <w:p>
            <w:pPr>
              <w:pStyle w:val="null3"/>
            </w:pPr>
            <w:r>
              <w:rPr>
                <w:rFonts w:ascii="仿宋_GB2312" w:hAnsi="仿宋_GB2312" w:cs="仿宋_GB2312" w:eastAsia="仿宋_GB2312"/>
              </w:rPr>
              <w:t>身份证明：法定代表人授权书（附法定代表人、被授权人身份证复印件）（法定代表人直接参加投标，须提供法定代表人身份证明及身份证复印件）；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良好的商业信誉和健全的财务会计制度：供应商应提供2024年度经审计的财务报告（成立时间至提交投标文件截止时间不足一年的可提供成立后任意时段的资产负债表），或提供投标截止时间前三个月内银行出具的资信证明，或信用担保机构出具的投标担保函（以上三种形式的资料提供任何一种即可）</w:t>
            </w:r>
          </w:p>
        </w:tc>
        <w:tc>
          <w:tcPr>
            <w:tcW w:type="dxa" w:w="3322"/>
          </w:tcPr>
          <w:p>
            <w:pPr>
              <w:pStyle w:val="null3"/>
            </w:pPr>
            <w:r>
              <w:rPr>
                <w:rFonts w:ascii="仿宋_GB2312" w:hAnsi="仿宋_GB2312" w:cs="仿宋_GB2312" w:eastAsia="仿宋_GB2312"/>
              </w:rPr>
              <w:t>良好的商业信誉和健全的财务会计制度：供应商应提供2024年度经审计的财务报告（成立时间至提交投标文件截止时间不足一年的可提供成立后任意时段的资产负债表），或提供投标截止时间前三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税收缴纳证明：提供投标人自投标截止日前6个月以内已缴纳任意一个月完税凭证或税务机关开具的完税证明（任意税种）；依法免税的应提供相关文件证明；</w:t>
            </w:r>
          </w:p>
        </w:tc>
        <w:tc>
          <w:tcPr>
            <w:tcW w:type="dxa" w:w="3322"/>
          </w:tcPr>
          <w:p>
            <w:pPr>
              <w:pStyle w:val="null3"/>
            </w:pPr>
            <w:r>
              <w:rPr>
                <w:rFonts w:ascii="仿宋_GB2312" w:hAnsi="仿宋_GB2312" w:cs="仿宋_GB2312" w:eastAsia="仿宋_GB2312"/>
              </w:rPr>
              <w:t>税收缴纳证明：提供投标人自投标截止日前6个月以内已缴纳任意一个月完税凭证或税务机关开具的完税证明（任意税种）；依法免税的应提供相关文件证明；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提供投标人自投标截止日前6个月以内已缴存的任意一个月的社会保障资金缴存单据或社保机构开具的社会保险参保缴费情况证明；依法不需要缴纳社会保障资金的投标人应提供相关文件证明；</w:t>
            </w:r>
          </w:p>
        </w:tc>
        <w:tc>
          <w:tcPr>
            <w:tcW w:type="dxa" w:w="3322"/>
          </w:tcPr>
          <w:p>
            <w:pPr>
              <w:pStyle w:val="null3"/>
            </w:pPr>
            <w:r>
              <w:rPr>
                <w:rFonts w:ascii="仿宋_GB2312" w:hAnsi="仿宋_GB2312" w:cs="仿宋_GB2312" w:eastAsia="仿宋_GB2312"/>
              </w:rPr>
              <w:t>社会保障资金缴纳证明：提供投标人自投标截止日前6个月以内已缴存的任意一个月的社会保障资金缴存单据或社保机构开具的社会保险参保缴费情况证明；依法不需要缴纳社会保障资金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参加本次招标前3年内，在政府采购经营活动中没有重大违法记录的书面声明；（格式自拟）</w:t>
            </w:r>
          </w:p>
        </w:tc>
        <w:tc>
          <w:tcPr>
            <w:tcW w:type="dxa" w:w="3322"/>
          </w:tcPr>
          <w:p>
            <w:pPr>
              <w:pStyle w:val="null3"/>
            </w:pPr>
            <w:r>
              <w:rPr>
                <w:rFonts w:ascii="仿宋_GB2312" w:hAnsi="仿宋_GB2312" w:cs="仿宋_GB2312" w:eastAsia="仿宋_GB2312"/>
              </w:rPr>
              <w:t>参加本次招标前3年内，在政府采购经营活动中没有重大违法记录的书面声明；（格式自拟）</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履约能力：具有履行合同所必需的设备和专业技术能力及承诺；（格式自拟）</w:t>
            </w:r>
          </w:p>
        </w:tc>
        <w:tc>
          <w:tcPr>
            <w:tcW w:type="dxa" w:w="3322"/>
          </w:tcPr>
          <w:p>
            <w:pPr>
              <w:pStyle w:val="null3"/>
            </w:pPr>
            <w:r>
              <w:rPr>
                <w:rFonts w:ascii="仿宋_GB2312" w:hAnsi="仿宋_GB2312" w:cs="仿宋_GB2312" w:eastAsia="仿宋_GB2312"/>
              </w:rPr>
              <w:t>履约能力：具有履行合同所必需的设备和专业技术能力及承诺；（格式自拟）</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誉：供应商参加本次政府采购活动前3年内在经营活动中没有重大违纪、未被“信用中国”网站(www.creditchina.gov.cn)、中国政府采购网(www.ccgp.gov.cn)列入失信被执行人、重大税收违法案件当事人名单、政府采购严重违法失信行为记录名单，开标评审将登陆“信用中国”网站（www.creditchina.gov.cn）和“中国政府采购网”（www.ccgp.gov.cn）进行审查。</w:t>
            </w:r>
          </w:p>
        </w:tc>
        <w:tc>
          <w:tcPr>
            <w:tcW w:type="dxa" w:w="3322"/>
          </w:tcPr>
          <w:p>
            <w:pPr>
              <w:pStyle w:val="null3"/>
            </w:pPr>
            <w:r>
              <w:rPr>
                <w:rFonts w:ascii="仿宋_GB2312" w:hAnsi="仿宋_GB2312" w:cs="仿宋_GB2312" w:eastAsia="仿宋_GB2312"/>
              </w:rPr>
              <w:t>企业信誉：供应商参加本次政府采购活动前3年内在经营活动中没有重大违纪、未被“信用中国”网站(www.creditchina.gov.cn)、中国政府采购网(www.ccgp.gov.cn)列入失信被执行人、重大税收违法案件当事人名单、政府采购严重违法失信行为记录名单，开标评审将登陆“信用中国”网站（www.creditchina.gov.cn）和“中国政府采购网”（www.ccgp.gov.cn）进行审查。</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非联合体声明：本项目不接受联合体投标。（格式自拟）</w:t>
            </w:r>
          </w:p>
        </w:tc>
        <w:tc>
          <w:tcPr>
            <w:tcW w:type="dxa" w:w="3322"/>
          </w:tcPr>
          <w:p>
            <w:pPr>
              <w:pStyle w:val="null3"/>
            </w:pPr>
            <w:r>
              <w:rPr>
                <w:rFonts w:ascii="仿宋_GB2312" w:hAnsi="仿宋_GB2312" w:cs="仿宋_GB2312" w:eastAsia="仿宋_GB2312"/>
              </w:rPr>
              <w:t>非联合体声明：本项目不接受联合体投标。（格式自拟）</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谈判响应文件上法定代表人或其授权代表人的签字齐全并加盖公章</w:t>
            </w:r>
          </w:p>
        </w:tc>
        <w:tc>
          <w:tcPr>
            <w:tcW w:type="dxa" w:w="1661"/>
          </w:tcPr>
          <w:p>
            <w:pPr>
              <w:pStyle w:val="null3"/>
            </w:pPr>
            <w:r>
              <w:rPr>
                <w:rFonts w:ascii="仿宋_GB2312" w:hAnsi="仿宋_GB2312" w:cs="仿宋_GB2312" w:eastAsia="仿宋_GB2312"/>
              </w:rPr>
              <w:t>谈判方案说明.docx 中小企业声明函 报价表 资格证明文件.docx 商务响应表.docx 响应文件封面 技术规格响应.docx 分项报价表.docx 备品备件.docx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谈判响应文件格式</w:t>
            </w:r>
          </w:p>
        </w:tc>
        <w:tc>
          <w:tcPr>
            <w:tcW w:type="dxa" w:w="3322"/>
          </w:tcPr>
          <w:p>
            <w:pPr>
              <w:pStyle w:val="null3"/>
            </w:pPr>
            <w:r>
              <w:rPr>
                <w:rFonts w:ascii="仿宋_GB2312" w:hAnsi="仿宋_GB2312" w:cs="仿宋_GB2312" w:eastAsia="仿宋_GB2312"/>
              </w:rPr>
              <w:t>应符合“谈判响应文件格式”要求</w:t>
            </w:r>
          </w:p>
        </w:tc>
        <w:tc>
          <w:tcPr>
            <w:tcW w:type="dxa" w:w="1661"/>
          </w:tcPr>
          <w:p>
            <w:pPr>
              <w:pStyle w:val="null3"/>
            </w:pPr>
            <w:r>
              <w:rPr>
                <w:rFonts w:ascii="仿宋_GB2312" w:hAnsi="仿宋_GB2312" w:cs="仿宋_GB2312" w:eastAsia="仿宋_GB2312"/>
              </w:rPr>
              <w:t>谈判方案说明.docx 中小企业声明函 报价表 资格证明文件.docx 商务响应表.docx 响应文件封面 技术规格响应.docx 分项报价表.docx 备品备件.docx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w:t>
            </w:r>
          </w:p>
        </w:tc>
        <w:tc>
          <w:tcPr>
            <w:tcW w:type="dxa" w:w="1661"/>
          </w:tcPr>
          <w:p>
            <w:pPr>
              <w:pStyle w:val="null3"/>
            </w:pPr>
            <w:r>
              <w:rPr>
                <w:rFonts w:ascii="仿宋_GB2312" w:hAnsi="仿宋_GB2312" w:cs="仿宋_GB2312" w:eastAsia="仿宋_GB2312"/>
              </w:rPr>
              <w:t>响应文件封面 分项报价表.docx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★号的技术参数</w:t>
            </w:r>
          </w:p>
        </w:tc>
        <w:tc>
          <w:tcPr>
            <w:tcW w:type="dxa" w:w="3322"/>
          </w:tcPr>
          <w:p>
            <w:pPr>
              <w:pStyle w:val="null3"/>
            </w:pPr>
            <w:r>
              <w:rPr>
                <w:rFonts w:ascii="仿宋_GB2312" w:hAnsi="仿宋_GB2312" w:cs="仿宋_GB2312" w:eastAsia="仿宋_GB2312"/>
              </w:rPr>
              <w:t>带有★号的技术参数为实质性条款，不得有负偏离</w:t>
            </w:r>
          </w:p>
        </w:tc>
        <w:tc>
          <w:tcPr>
            <w:tcW w:type="dxa" w:w="1661"/>
          </w:tcPr>
          <w:p>
            <w:pPr>
              <w:pStyle w:val="null3"/>
            </w:pPr>
            <w:r>
              <w:rPr>
                <w:rFonts w:ascii="仿宋_GB2312" w:hAnsi="仿宋_GB2312" w:cs="仿宋_GB2312" w:eastAsia="仿宋_GB2312"/>
              </w:rPr>
              <w:t>响应文件封面 技术规格响应.docx 谈判方案说明.docx 商务响应表.docx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谈判响应文件内容</w:t>
            </w:r>
          </w:p>
        </w:tc>
        <w:tc>
          <w:tcPr>
            <w:tcW w:type="dxa" w:w="3322"/>
          </w:tcPr>
          <w:p>
            <w:pPr>
              <w:pStyle w:val="null3"/>
            </w:pPr>
            <w:r>
              <w:rPr>
                <w:rFonts w:ascii="仿宋_GB2312" w:hAnsi="仿宋_GB2312" w:cs="仿宋_GB2312" w:eastAsia="仿宋_GB2312"/>
              </w:rPr>
              <w:t>谈判响应文件内容齐全、无遗漏</w:t>
            </w:r>
          </w:p>
        </w:tc>
        <w:tc>
          <w:tcPr>
            <w:tcW w:type="dxa" w:w="1661"/>
          </w:tcPr>
          <w:p>
            <w:pPr>
              <w:pStyle w:val="null3"/>
            </w:pPr>
            <w:r>
              <w:rPr>
                <w:rFonts w:ascii="仿宋_GB2312" w:hAnsi="仿宋_GB2312" w:cs="仿宋_GB2312" w:eastAsia="仿宋_GB2312"/>
              </w:rPr>
              <w:t>响应文件封面 技术规格响应.docx 谈判方案说明.docx 商务响应表.docx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技术规格响应.docx 谈判方案说明.docx 商务响应表.docx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应满足谈判文件中要求的交货期</w:t>
            </w:r>
          </w:p>
        </w:tc>
        <w:tc>
          <w:tcPr>
            <w:tcW w:type="dxa" w:w="1661"/>
          </w:tcPr>
          <w:p>
            <w:pPr>
              <w:pStyle w:val="null3"/>
            </w:pPr>
            <w:r>
              <w:rPr>
                <w:rFonts w:ascii="仿宋_GB2312" w:hAnsi="仿宋_GB2312" w:cs="仿宋_GB2312" w:eastAsia="仿宋_GB2312"/>
              </w:rPr>
              <w:t>响应文件封面 分项报价表.docx 谈判方案说明.docx 标的清单 报价表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应满足谈判文件中要求的交货地点</w:t>
            </w:r>
          </w:p>
        </w:tc>
        <w:tc>
          <w:tcPr>
            <w:tcW w:type="dxa" w:w="1661"/>
          </w:tcPr>
          <w:p>
            <w:pPr>
              <w:pStyle w:val="null3"/>
            </w:pPr>
            <w:r>
              <w:rPr>
                <w:rFonts w:ascii="仿宋_GB2312" w:hAnsi="仿宋_GB2312" w:cs="仿宋_GB2312" w:eastAsia="仿宋_GB2312"/>
              </w:rPr>
              <w:t>响应文件封面 技术规格响应.docx 谈判方案说明.docx 商务响应表.docx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响应文件封面 响应函 资格证明文件.docx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详见附件：技术规格响应.docx</w:t>
      </w:r>
    </w:p>
    <w:p>
      <w:pPr>
        <w:pStyle w:val="null3"/>
        <w:ind w:firstLine="960"/>
      </w:pPr>
      <w:r>
        <w:rPr>
          <w:rFonts w:ascii="仿宋_GB2312" w:hAnsi="仿宋_GB2312" w:cs="仿宋_GB2312" w:eastAsia="仿宋_GB2312"/>
        </w:rPr>
        <w:t>详见附件：商务响应表.docx</w:t>
      </w:r>
    </w:p>
    <w:p>
      <w:pPr>
        <w:pStyle w:val="null3"/>
        <w:ind w:firstLine="960"/>
      </w:pPr>
      <w:r>
        <w:rPr>
          <w:rFonts w:ascii="仿宋_GB2312" w:hAnsi="仿宋_GB2312" w:cs="仿宋_GB2312" w:eastAsia="仿宋_GB2312"/>
        </w:rPr>
        <w:t>详见附件：备品备件.docx</w:t>
      </w:r>
    </w:p>
    <w:p>
      <w:pPr>
        <w:pStyle w:val="null3"/>
        <w:ind w:firstLine="960"/>
      </w:pPr>
      <w:r>
        <w:rPr>
          <w:rFonts w:ascii="仿宋_GB2312" w:hAnsi="仿宋_GB2312" w:cs="仿宋_GB2312" w:eastAsia="仿宋_GB2312"/>
        </w:rPr>
        <w:t>详见附件：谈判方案说明.docx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