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商务条款偏离表</w:t>
      </w:r>
    </w:p>
    <w:p w14:paraId="165A6FF3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项目编号：</w:t>
      </w:r>
    </w:p>
    <w:p w14:paraId="14A7DB9F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bookmarkStart w:id="0" w:name="_GoBack" w:colFirst="0" w:colLast="3"/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说明</w:t>
            </w:r>
          </w:p>
        </w:tc>
      </w:tr>
      <w:bookmarkEnd w:id="0"/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9012586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说明：</w:t>
      </w:r>
    </w:p>
    <w:p w14:paraId="7757EBB3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法定代表人或委托代理人：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63D68F00">
      <w:r>
        <w:rPr>
          <w:rFonts w:hint="eastAsia" w:ascii="仿宋" w:hAnsi="仿宋" w:eastAsia="仿宋" w:cs="仿宋"/>
          <w:color w:val="auto"/>
        </w:rPr>
        <w:t>日期：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D5D9F"/>
    <w:rsid w:val="2D7D5D9F"/>
    <w:rsid w:val="3B12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2025-07-24T05:31:00Z</dcterms:created>
  <dc:creator>苍白假面</dc:creator>
  <cp:lastModifiedBy>苍白假面</cp:lastModifiedBy>
  <dcterms:modified xsi:type="dcterms:W3CDTF">2025-07-24T05:35:09Z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46861E80C4AE4B3DAFAB3FE5CD22897E_11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