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版本号：HRC-ZBDL-2025-0120120250812002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校门及两侧围墙维修改造项目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HRC-ZBDL-2025-01201</w:t>
      </w:r>
      <w:r>
        <w:br/>
      </w:r>
      <w:r>
        <w:br/>
      </w:r>
      <w:r>
        <w:br/>
      </w:r>
    </w:p>
    <w:p>
      <w:pPr>
        <w:pStyle w:val="null3"/>
        <w:jc w:val="center"/>
        <w:outlineLvl w:val="2"/>
      </w:pPr>
      <w:r>
        <w:rPr>
          <w:rFonts w:ascii="仿宋_GB2312" w:hAnsi="仿宋_GB2312" w:cs="仿宋_GB2312" w:eastAsia="仿宋_GB2312"/>
          <w:sz w:val="28"/>
          <w:b/>
        </w:rPr>
        <w:t>西安市莲湖区行知小学</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西安市莲湖区行知小学</w:t>
      </w:r>
      <w:r>
        <w:rPr>
          <w:rFonts w:ascii="仿宋_GB2312" w:hAnsi="仿宋_GB2312" w:cs="仿宋_GB2312" w:eastAsia="仿宋_GB2312"/>
        </w:rPr>
        <w:t>委托，拟对</w:t>
      </w:r>
      <w:r>
        <w:rPr>
          <w:rFonts w:ascii="仿宋_GB2312" w:hAnsi="仿宋_GB2312" w:cs="仿宋_GB2312" w:eastAsia="仿宋_GB2312"/>
        </w:rPr>
        <w:t>校门及两侧围墙维修改造项目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校门及两侧围墙维修改造项目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校门及两侧围墙（150米）翻新改造。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采购包1（校门及两侧围墙维修改造项目）：属于专门面向中小企业采购。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合格有效的企业法人营业执照、税务登记证、组织机构代码证（或三证合一营业执照）。：供应商具有合格有效的企业法人营业执照、税务登记证、组织机构代码证（或三证合一营业执照）。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2、供应商应授权合法的人员参加磋商全过程，其中法定代表人直接参加磋商的，须出具法人身份证，并与营业执照上信息一致。法定代表人 授权代表参加磋商的，须出具法定代表人授权书及授权代表身份证。非法人单位参照执行。：供应商应授权合法的人员参加磋商全过程，其中法定代表人直接参加磋商的，须出具法人身份证，并与营业执照上信息一致。法定代表人授权代表参加磋商的，须出具法定代表人授权书及授权代表身份证。非法人单位参照执行。供应商需在项目电子化交易系统中按要求上传相应证明文件并进行电子签章。</w:t>
      </w:r>
    </w:p>
    <w:p>
      <w:pPr>
        <w:pStyle w:val="null3"/>
      </w:pPr>
      <w:r>
        <w:rPr>
          <w:rFonts w:ascii="仿宋_GB2312" w:hAnsi="仿宋_GB2312" w:cs="仿宋_GB2312" w:eastAsia="仿宋_GB2312"/>
        </w:rPr>
        <w:t>3、供应商须具备建设行政主管部门颁发的建筑工程施工总承包三级及以 上（含三级）资质且具有有效的安全生产许可证。：供应商须具备建设行政主管部门颁发的建筑工程施工总承包三级及以上（含三级）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4、具备建筑工程专业二级注册建造师或以上建造师执业资格。拟派项目经理具备建筑工程专业二级（含二级）以上注册建造师证、安全生产考核合格证（建安B证）、无在建工程承诺书(复印件加盖公章）；：具备建筑工程专业二级注册建造师或以上建造师执业资格。拟派项目经理具备建筑工程专业二级（含二级）以上注册建造师证、安全生产考核合格证（建安B证）、无在建工程承诺书(复印件加盖公章）；供应商需在项目电子化交易系统中按要求上传相应证明文件并进行电子签章。</w:t>
      </w:r>
    </w:p>
    <w:p>
      <w:pPr>
        <w:pStyle w:val="null3"/>
      </w:pPr>
      <w:r>
        <w:rPr>
          <w:rFonts w:ascii="仿宋_GB2312" w:hAnsi="仿宋_GB2312" w:cs="仿宋_GB2312" w:eastAsia="仿宋_GB2312"/>
        </w:rPr>
        <w:t>5、税收缴纳证明：提供供应商开标前六个月至今已缴纳任意一个月完税凭证或税务机关开具的完税证明( 营业税、企业所得税、增值税任意 一种即可）；依法免税的应提供相关文件证明。：税收缴纳证明：提供供应商开标前六个月至今已缴纳任意一个月完税凭证或税务机关开具的完税证明（营业税、企业所得税、增值税任意一种即可）；依法免税的应提供相关文件证明；供应商需在项目电子化交易系统中按要求上传相应证明文件并进行电子签章。</w:t>
      </w:r>
    </w:p>
    <w:p>
      <w:pPr>
        <w:pStyle w:val="null3"/>
      </w:pPr>
      <w:r>
        <w:rPr>
          <w:rFonts w:ascii="仿宋_GB2312" w:hAnsi="仿宋_GB2312" w:cs="仿宋_GB2312" w:eastAsia="仿宋_GB2312"/>
        </w:rPr>
        <w:t>6、社会保障资金缴纳证明：提供供应商开标前六个月至今已缴存的任意 一个月的社会保障资金缴存证明或社保机构开具的社会保险参保缴费情况证明；依法不需要缴纳社会保障资金的应提供相关文件证明。：社会保障资金缴纳证明：提供供应商开标前六个月至今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7、供应商负责人为同一人或者存在控股、管理关系的不同单位，不得参加同一项目的投标。：供应商负责人为同一人或者存在控股、管理关系的不同单位，不得参加同一项目的投标。供应商需在项目电子化交易系统中按要求上传相应证明文件并进行电子签章。</w:t>
      </w:r>
    </w:p>
    <w:p>
      <w:pPr>
        <w:pStyle w:val="null3"/>
      </w:pPr>
      <w:r>
        <w:rPr>
          <w:rFonts w:ascii="仿宋_GB2312" w:hAnsi="仿宋_GB2312" w:cs="仿宋_GB2312" w:eastAsia="仿宋_GB2312"/>
        </w:rPr>
        <w:t>8、财务报告：提供供应商2024年经审计的财务报告，或开标前三个月内开户银行开具的资信证明或政府采购信用担保机构出具的磋商担保函;：财务报告：提供供应商2024年经审计的财务报告，或开标前三个月内开户银行开具的资信证明或政府采购信用担保机构出具的磋商担保函;供应商需在项目电子化交易系统中按要求上传相应证明文件并进行电子签章。</w:t>
      </w:r>
    </w:p>
    <w:p>
      <w:pPr>
        <w:pStyle w:val="null3"/>
      </w:pPr>
      <w:r>
        <w:rPr>
          <w:rFonts w:ascii="仿宋_GB2312" w:hAnsi="仿宋_GB2312" w:cs="仿宋_GB2312" w:eastAsia="仿宋_GB2312"/>
        </w:rPr>
        <w:t>9、出具参加本次政府采购活动前三年内在经营活动中没有重大违法记录的书面声明；：出具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提供具有履行本合同所必需的设备和专业技术能力的说明或承诺；：提供具有履行本合同所必需的设备和专业技术能力的说明或承诺；供应商需在项目电子化交易系统中按要求上传相应证明文件并进行电子签章。</w:t>
      </w:r>
    </w:p>
    <w:p>
      <w:pPr>
        <w:pStyle w:val="null3"/>
      </w:pPr>
      <w:r>
        <w:rPr>
          <w:rFonts w:ascii="仿宋_GB2312" w:hAnsi="仿宋_GB2312" w:cs="仿宋_GB2312" w:eastAsia="仿宋_GB2312"/>
        </w:rPr>
        <w:t>11、供应商不得为“信用中国” 网站（www.creditchina.gov.cn）（中国执行信息公开网）中列入失 信被执行人和重大税收违法失信主体名单的供应商，不得为中国政府采购网（www.ccgp.go v.cn）政府采购严重违法失信行为记录名单中被财政部门禁止参加政府采购活动的供应商；：供应商不得为“信用中国” 网站（www.creditchina.gov.cn）（中国执行信息公开网）中列入失 信被执行人和重大税收违法失信主体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西安市莲湖区行知小学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莲湖区团结中路103号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西安市莲湖区行知小学经办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15529382996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17349253901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采购包1：1,056,200.00元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文件收费标准计取，由成交人在领取成交通知书前向代理机构支付。 2、招标代理服务费以转账或现金形式缴纳至以下账户： 开户名称：华睿诚项目管理有限公司 开户银行：西安银行小寨东路支行 账号：816011580000101224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西安市莲湖区行知小学</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西安市莲湖区行知小学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西安市莲湖区行知小学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联系电话：17349253901</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1,056,200.00</w:t>
      </w:r>
    </w:p>
    <w:p>
      <w:pPr>
        <w:pStyle w:val="null3"/>
      </w:pPr>
      <w:r>
        <w:rPr>
          <w:rFonts w:ascii="仿宋_GB2312" w:hAnsi="仿宋_GB2312" w:cs="仿宋_GB2312" w:eastAsia="仿宋_GB2312"/>
        </w:rPr>
        <w:t>采购包最高限价（元）: 903,437.54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校门及两侧围墙维修改造项目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1,056,200.00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标的名称：校门及两侧围墙维修改造项目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本工程为西安市行知小学校园建筑维修改造项目，位于陕西省西安市。</w:t>
            </w:r>
            <w:r>
              <w:br/>
            </w:r>
            <w:r>
              <w:rPr>
                <w:rFonts w:ascii="仿宋_GB2312" w:hAnsi="仿宋_GB2312" w:cs="仿宋_GB2312" w:eastAsia="仿宋_GB2312"/>
              </w:rPr>
              <w:t xml:space="preserve"> 二、编制范围</w:t>
            </w:r>
            <w:r>
              <w:br/>
            </w:r>
            <w:r>
              <w:rPr>
                <w:rFonts w:ascii="仿宋_GB2312" w:hAnsi="仿宋_GB2312" w:cs="仿宋_GB2312" w:eastAsia="仿宋_GB2312"/>
              </w:rPr>
              <w:t xml:space="preserve"> 西安市行知小学校园建筑维修改造项目，主要内容包括：围墙的拆除改造、大门的拆除改造等。</w:t>
            </w:r>
            <w:r>
              <w:br/>
            </w:r>
            <w:r>
              <w:rPr>
                <w:rFonts w:ascii="仿宋_GB2312" w:hAnsi="仿宋_GB2312" w:cs="仿宋_GB2312" w:eastAsia="仿宋_GB2312"/>
              </w:rPr>
              <w:t xml:space="preserve"> 三、编制依据</w:t>
            </w:r>
            <w:r>
              <w:br/>
            </w:r>
            <w:r>
              <w:rPr>
                <w:rFonts w:ascii="仿宋_GB2312" w:hAnsi="仿宋_GB2312" w:cs="仿宋_GB2312" w:eastAsia="仿宋_GB2312"/>
              </w:rPr>
              <w:t xml:space="preserve"> 1、设计图纸及答疑；</w:t>
            </w:r>
            <w:r>
              <w:br/>
            </w:r>
            <w:r>
              <w:rPr>
                <w:rFonts w:ascii="仿宋_GB2312" w:hAnsi="仿宋_GB2312" w:cs="仿宋_GB2312" w:eastAsia="仿宋_GB2312"/>
              </w:rPr>
              <w:t xml:space="preserve"> 2、《陕西省建设工程工程量清单计价标准》（2025）、《陕西省建设工程费用规则》（2025）；</w:t>
            </w:r>
            <w:r>
              <w:br/>
            </w:r>
            <w:r>
              <w:rPr>
                <w:rFonts w:ascii="仿宋_GB2312" w:hAnsi="仿宋_GB2312" w:cs="仿宋_GB2312" w:eastAsia="仿宋_GB2312"/>
              </w:rPr>
              <w:t xml:space="preserve"> 3、陕西省工程建设标准《房屋建筑与装饰工程工程量计算标准》DB61/T 5129-2025、陕西省工程建设标准《通用安装工程工程量计算标准》DB61/T 5130-2025、陕西省工程建设标准《市政工程工程量计算标准》DB61/T 5128-2025、陕西省工程建设标准《园林绿化工程工程量计算标准》DB61/T 5131-2025。</w:t>
            </w:r>
            <w:r>
              <w:br/>
            </w:r>
            <w:r>
              <w:rPr>
                <w:rFonts w:ascii="仿宋_GB2312" w:hAnsi="仿宋_GB2312" w:cs="仿宋_GB2312" w:eastAsia="仿宋_GB2312"/>
              </w:rPr>
              <w:t xml:space="preserve"> 4、《陕西省通用安装工程消耗量定额》（2025）、《陕西省房屋建筑与装饰工程消耗量定额》（2025）、《陕西省市政工程消耗量定额》（2025）、《陕西省园林绿化工程消耗量定额》(2025)、《陕西省绿色建筑工程消耗量定额》(2025)、《陕西省城市地下综合管廊工程消耗量定额》(2025)及其配套价目表；</w:t>
            </w:r>
            <w:r>
              <w:br/>
            </w:r>
            <w:r>
              <w:rPr>
                <w:rFonts w:ascii="仿宋_GB2312" w:hAnsi="仿宋_GB2312" w:cs="仿宋_GB2312" w:eastAsia="仿宋_GB2312"/>
              </w:rPr>
              <w:t xml:space="preserve"> 5、《陕西省建设工程施工机械台班费用定额》（2025）、《陕西省建设工程施工仪器仪表台班费用定额》（2025）</w:t>
            </w:r>
            <w:r>
              <w:br/>
            </w:r>
            <w:r>
              <w:rPr>
                <w:rFonts w:ascii="仿宋_GB2312" w:hAnsi="仿宋_GB2312" w:cs="仿宋_GB2312" w:eastAsia="仿宋_GB2312"/>
              </w:rPr>
              <w:t xml:space="preserve"> 6、陕建管发〔2025〕10号《陕西省住房和城乡建设厅关于印发2025陕西省建设工程费用规则等计价依据的通知》；</w:t>
            </w:r>
            <w:r>
              <w:br/>
            </w:r>
            <w:r>
              <w:rPr>
                <w:rFonts w:ascii="仿宋_GB2312" w:hAnsi="仿宋_GB2312" w:cs="仿宋_GB2312" w:eastAsia="仿宋_GB2312"/>
              </w:rPr>
              <w:t xml:space="preserve"> 7、常规的施工工艺和施工方法、工程验收规范及标准；</w:t>
            </w:r>
            <w:r>
              <w:br/>
            </w:r>
            <w:r>
              <w:rPr>
                <w:rFonts w:ascii="仿宋_GB2312" w:hAnsi="仿宋_GB2312" w:cs="仿宋_GB2312" w:eastAsia="仿宋_GB2312"/>
              </w:rPr>
              <w:t xml:space="preserve"> 8、与建设主要材料价参照陕西省2025年第6期信息价、市场价或同类工程中档以上价格计入；</w:t>
            </w:r>
            <w:r>
              <w:br/>
            </w:r>
            <w:r>
              <w:rPr>
                <w:rFonts w:ascii="仿宋_GB2312" w:hAnsi="仿宋_GB2312" w:cs="仿宋_GB2312" w:eastAsia="仿宋_GB2312"/>
              </w:rPr>
              <w:t xml:space="preserve"> 9、与建设工程项目有关的标准、规范、图集、技术资料；</w:t>
            </w:r>
            <w:r>
              <w:br/>
            </w:r>
            <w:r>
              <w:rPr>
                <w:rFonts w:ascii="仿宋_GB2312" w:hAnsi="仿宋_GB2312" w:cs="仿宋_GB2312" w:eastAsia="仿宋_GB2312"/>
              </w:rPr>
              <w:t xml:space="preserve"> 10、本工程量清单采用广联达云计价平台GCCP7.0（7.5000.23.1版本）编制。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特别注意：（1）供应商需要在线提交所有通过电子化交易平台实施的政府采购项目的响应文件，同时，成交供应商应在领取中标通知书时线下提交响应文件正本 壹 份、副本 贰 套、电子版 壹 套（U盘一套标明供应商名称）；（2）根据《陕西省财政厅关于进一步优化政府采购营商环境有关事项的通知》（陕财办采 〔2023〕4号）规定，采购人应在成交通知书发出之日起25日与成交供应商签订采购合同，因采购系统文件编制有所限制， 文件前后不一致以此处为准。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提供供应商2024年经审计的财务报告，或开标前三个月内开户银行开具的资信证明或政府采购信用担保机构出具的磋商担保函；供应商需在项目电子化交易系统中按要求上传相应证明文件并进行电子签章。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供应商具有合格有效的企业法人营业执照、税务登记证、组织机构代码证（或三证合一营业执照）。</w:t>
            </w:r>
          </w:p>
        </w:tc>
        <w:tc>
          <w:tcPr>
            <w:tcW w:type="dxa" w:w="3322"/>
          </w:tcPr>
          <w:p>
            <w:pPr>
              <w:pStyle w:val="null3"/>
            </w:pPr>
            <w:r>
              <w:rPr>
                <w:rFonts w:ascii="仿宋_GB2312" w:hAnsi="仿宋_GB2312" w:cs="仿宋_GB2312" w:eastAsia="仿宋_GB2312"/>
              </w:rPr>
              <w:t>供应商具有合格有效的企业法人营业执照、税务登记证、组织机构代码证（或三证合一营业执照）。供应商需在项目电子化交易系统中按要求上传相应证明文件并进行电子签章。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 授权代表参加磋商的，须出具法定代表人授权书及授权代表身份证。非法人单位参照执行。</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供应商须具备建设行政主管部门颁发的建筑工程施工总承包三级及以 上（含三级）资质且具有有效的安全生产许可证。</w:t>
            </w:r>
          </w:p>
        </w:tc>
        <w:tc>
          <w:tcPr>
            <w:tcW w:type="dxa" w:w="3322"/>
          </w:tcPr>
          <w:p>
            <w:pPr>
              <w:pStyle w:val="null3"/>
            </w:pPr>
            <w:r>
              <w:rPr>
                <w:rFonts w:ascii="仿宋_GB2312" w:hAnsi="仿宋_GB2312" w:cs="仿宋_GB2312" w:eastAsia="仿宋_GB2312"/>
              </w:rPr>
              <w:t>供应商须具备建设行政主管部门颁发的建筑工程施工总承包三级及以上（含三级）资质且具有有效的安全生产许可证。供应商需在项目电子化交易系统中按要求上传相应证明文件并进行电子签章。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具备建筑工程专业二级注册建造师或以上建造师执业资格。拟派项目经理具备建筑工程专业二级（含二级）以上注册建造师证、安全生产考核合格证（建安B证）、无在建工程承诺书(复印件加盖公章）；</w:t>
            </w:r>
          </w:p>
        </w:tc>
        <w:tc>
          <w:tcPr>
            <w:tcW w:type="dxa" w:w="3322"/>
          </w:tcPr>
          <w:p>
            <w:pPr>
              <w:pStyle w:val="null3"/>
            </w:pPr>
            <w:r>
              <w:rPr>
                <w:rFonts w:ascii="仿宋_GB2312" w:hAnsi="仿宋_GB2312" w:cs="仿宋_GB2312" w:eastAsia="仿宋_GB2312"/>
              </w:rPr>
              <w:t>具备建筑工程专业二级注册建造师或以上建造师执业资格。拟派项目经理具备建筑工程专业二级（含二级）以上注册建造师证、安全生产考核合格证（建安B证）、无在建工程承诺书(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项目管理机构组成表 报价函 供应商应提交的相关资格证明材料 响应函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税收缴纳证明：提供供应商开标前六个月至今已缴纳任意一个月完税凭证或税务机关开具的完税证明( 营业税、企业所得税、增值税任意 一种即可）；依法免税的应提供相关文件证明。</w:t>
            </w:r>
          </w:p>
        </w:tc>
        <w:tc>
          <w:tcPr>
            <w:tcW w:type="dxa" w:w="3322"/>
          </w:tcPr>
          <w:p>
            <w:pPr>
              <w:pStyle w:val="null3"/>
            </w:pPr>
            <w:r>
              <w:rPr>
                <w:rFonts w:ascii="仿宋_GB2312" w:hAnsi="仿宋_GB2312" w:cs="仿宋_GB2312" w:eastAsia="仿宋_GB2312"/>
              </w:rPr>
              <w:t>税收缴纳证明：提供供应商开标前六个月至今已缴纳任意一个月完税凭证或税务机关开具的完税证明（营业税、企业所得税、增值税任意一种即可）；依法免税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社会保障资金缴纳证明：提供供应商开标前六个月至今已缴存的任意 一个月的社会保障资金缴存证明或社保机构开具的社会保险参保缴费情况证明；依法不需要缴纳社会保障资金的应提供相关文件证明。</w:t>
            </w:r>
          </w:p>
        </w:tc>
        <w:tc>
          <w:tcPr>
            <w:tcW w:type="dxa" w:w="3322"/>
          </w:tcPr>
          <w:p>
            <w:pPr>
              <w:pStyle w:val="null3"/>
            </w:pPr>
            <w:r>
              <w:rPr>
                <w:rFonts w:ascii="仿宋_GB2312" w:hAnsi="仿宋_GB2312" w:cs="仿宋_GB2312" w:eastAsia="仿宋_GB2312"/>
              </w:rPr>
              <w:t>社会保障资金缴纳证明：提供供应商开标前六个月至今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供应商负责人为同一人或者存在控股、管理关系的不同单位，不得参加同一项目的投标。</w:t>
            </w:r>
          </w:p>
        </w:tc>
        <w:tc>
          <w:tcPr>
            <w:tcW w:type="dxa" w:w="3322"/>
          </w:tcPr>
          <w:p>
            <w:pPr>
              <w:pStyle w:val="null3"/>
            </w:pPr>
            <w:r>
              <w:rPr>
                <w:rFonts w:ascii="仿宋_GB2312" w:hAnsi="仿宋_GB2312" w:cs="仿宋_GB2312" w:eastAsia="仿宋_GB2312"/>
              </w:rPr>
              <w:t>供应商负责人为同一人或者存在控股、管理关系的不同单位，不得参加同一项目的投标。供应商需在项目电子化交易系统中按要求上传相应证明文件并进行电子签章。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财务报告：提供供应商2024年经审计的财务报告，或开标前三个月内开户银行开具的资信证明或政府采购信用担保机构出具的磋商担保函;</w:t>
            </w:r>
          </w:p>
        </w:tc>
        <w:tc>
          <w:tcPr>
            <w:tcW w:type="dxa" w:w="3322"/>
          </w:tcPr>
          <w:p>
            <w:pPr>
              <w:pStyle w:val="null3"/>
            </w:pPr>
            <w:r>
              <w:rPr>
                <w:rFonts w:ascii="仿宋_GB2312" w:hAnsi="仿宋_GB2312" w:cs="仿宋_GB2312" w:eastAsia="仿宋_GB2312"/>
              </w:rPr>
              <w:t>财务报告：提供供应商2024年经审计的财务报告，或开标前三个月内开户银行开具的资信证明或政府采购信用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供应商不得为“信用中国” 网站（www.creditchina.gov.cn）（中国执行信息公开网）中列入失 信被执行人和重大税收违法失信主体名单的供应商，不得为中国政府采购网（www.ccgp.go 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 网站（www.creditchina.gov.cn）（中国执行信息公开网）中列入失 信被执行人和重大税收违法失信主体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 响应函签字盖 章：有法定代表人或其委托代理人签字或加盖 单位章； 响应文件格式：符合第六章“ 响应文件 格式” 的要求。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 自合同签订之日起45日历天； 工程质量 ：按国家及省市相关建设工程质量标准的规定 , 达到“合格”要求； 投标有效期： 自提交响应 文件的截止之日起90个日历日； 已标价工程量清单：符合“工程量清单”给出的子 目名称、计量单位、工程量、子目备注说明； 投标价格：不得高于最高限价</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施工总体方案内容至少包括①施工准备;②施工方法;③重点难点工程分析及解决措施;④影响正常施工外在因素分析及对应预案等。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备注:评审内容“瑕疵”指内容明显错误，或内容不完整或缺少关键点，或不适用本项目特性、套用其他项目内容或内容不能满足本项目实际需求等情形。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备注:评审内容“瑕疵”指内容明显错误，或内容不完整或缺少关键点，或不适用本项目特性、套用其他项目内容或内容不能满足本项目实际需求等情形。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配置安全组织机构;③安全隐患排查、整改制度;④应急救援机制等。以上内容专门针对本项目且符合本项目实际需求的得8分，每缺一项内容扣2分，若上述内容存在瑕疵:每处存在1处瑕疵扣1分，扣完为止。 备注:评审内容“瑕疵”指内容明显错误，或内容不完整或缺少关键点，或不适用本项目特性、套用其他项目内容或内容不能满足本项目实际需求等情形。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文明施工及环境保护组织措施内容至少包括①文明及环境保护管理制度;②防尘降噪措施;③节能减排措施;④文明及环境保护施工监督检查机制等。以上内容专门针对本项目且符合本项目实际需求的得8分，每缺一项内容扣2分，若上述内容存在瑕疵，每存在1处瑕疵扣1分，扣完为止。 备注:评审内容“瑕疵”指内容明显错误，或内容不完整或缺少关键点，或不适用本项目特性、套用其他项目内容或内容不能满足本项目实际需求等情形。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施工组织和项目管理机构内容至少包括①项目管理机构图;②岗位安排及职责;③管理制度;④相应的协调措施等。 以上内容专门针对本项目且符合本项目实际需求的得8分，每缺一项内容扣2分，若上述内容存在瑕疵，每存在1处瑕疵扣1分，扣完为止。注:拟投入项目团队人员必须为本单位在职人员，提供承诺函或人员社保证明材料。 备注:评审内容“瑕疵”指内容明显错误，或内容不完整或缺少关键点，或不适用本项目特性、套用其他项目内容或内容不能满足本项目实际需求等情形。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施工部署与进度计划内容至少包括①施工总平面布置;②进度安排计划;③工期目标控制和保证措施;④材料供应措施; ⑤成品、半成品保护监管措施等。 以上内容专门针对本项目且符合本项目实际需求的得10分，每缺一项内容扣2分，若上述内容存在瑕疵每存在1处瑕疵扣1分，扣完为止。 备注:评审内容“瑕疵”指内容明显错误，或内容不完整或缺少关键点，或不适用本项目特性、套用其他项目内容或内容不能满足本项目实际需求等情形。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施工机械配置和材料投入计划内容至少包括①施工机械配置计划;②施工材料投入计划;③施工机械的维护保养和材料的贮存:④施工机械、材料的监督和检查等。以上内容专门针对本项目且符合本项目实际需求的得8分，每缺一项内容扣2分，若上述内容存在瑕疵，每存在1处瑕疵扣1分，扣完为止。 备注:评审内容“瑕疵”指内容明显错误，或内容不完整或缺少关键点，或不适用本项目特性、套用其他项目内容或内容不能满足本项目实际需求等情形。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 2022年 01月 01日至今(以合同签订时间为准)的同类项目业绩，响应文件中提供合同复印件加盖公章，每提供一个计2分，满分10分。注:证明材料为合同首页、双方签字盖章页以及能够反映合同内容的部分。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 ×价格权值（30%）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