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版本号：XHZB-25-033.1B120250812001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全民健身基础设施援建项目(二次)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XHZB-25-033.1B1</w:t>
      </w:r>
      <w:r>
        <w:br/>
      </w:r>
      <w:r>
        <w:br/>
      </w:r>
      <w:r>
        <w:br/>
      </w:r>
    </w:p>
    <w:p>
      <w:pPr>
        <w:pStyle w:val="null3"/>
        <w:jc w:val="center"/>
        <w:outlineLvl w:val="2"/>
      </w:pPr>
      <w:r>
        <w:rPr>
          <w:rFonts w:ascii="仿宋_GB2312" w:hAnsi="仿宋_GB2312" w:cs="仿宋_GB2312" w:eastAsia="仿宋_GB2312"/>
          <w:sz w:val="28"/>
          <w:b/>
        </w:rPr>
        <w:t>西安市莲湖区文化和旅游体育局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西安市莲湖区文化和旅游体育局</w:t>
      </w:r>
      <w:r>
        <w:rPr>
          <w:rFonts w:ascii="仿宋_GB2312" w:hAnsi="仿宋_GB2312" w:cs="仿宋_GB2312" w:eastAsia="仿宋_GB2312"/>
        </w:rPr>
        <w:t>委托，拟对</w:t>
      </w:r>
      <w:r>
        <w:rPr>
          <w:rFonts w:ascii="仿宋_GB2312" w:hAnsi="仿宋_GB2312" w:cs="仿宋_GB2312" w:eastAsia="仿宋_GB2312"/>
        </w:rPr>
        <w:t>全民健身基础设施援建项目(二次)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XHZB-25-033.1B1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全民健身基础设施援建项目(二次)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新建全民健身路径12套(A类型2套、B类型10套)、多功能运动场1个(笼式篮球场1个)、群众健身房2套(B类型2套)；新建体育基础设施建设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采购包1（全民健身基础设施援建项目）：属于专门面向中小企业采购。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财务状况审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029-87295342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账户如下：收款单位：信宏工程咨询有限公司陕西分公司；开户银行：招商银行股份有限公司西安神舟四路支行；银行账号：129919378410001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西安市莲湖区文化和旅游体育局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信宏工程咨询有限公司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全民健身路径12套(A类型2套、B类型10套)、多功能运动场1个(笼式篮球场1个)、群众健身房2套(B类型2套)；新建体育基础设施建设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1.全民健身路径A类型（2套）</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设备名称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单价限价</w:t>
                  </w:r>
                </w:p>
              </w:tc>
              <w:tc>
                <w:tcPr>
                  <w:tcW w:type="dxa" w:w="511"/>
                </w:tcPr>
                <w:p>
                  <w:pPr>
                    <w:pStyle w:val="null3"/>
                    <w:jc w:val="center"/>
                  </w:pPr>
                  <w:r>
                    <w:rPr>
                      <w:rFonts w:ascii="仿宋_GB2312" w:hAnsi="仿宋_GB2312" w:cs="仿宋_GB2312" w:eastAsia="仿宋_GB2312"/>
                    </w:rPr>
                    <w:t>采购要求</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地埋篮球架(含划线)</w:t>
                  </w:r>
                </w:p>
              </w:tc>
              <w:tc>
                <w:tcPr>
                  <w:tcW w:type="dxa" w:w="511"/>
                </w:tcPr>
                <w:p>
                  <w:pPr>
                    <w:pStyle w:val="null3"/>
                    <w:jc w:val="center"/>
                  </w:pPr>
                  <w:r>
                    <w:rPr>
                      <w:rFonts w:ascii="仿宋_GB2312" w:hAnsi="仿宋_GB2312" w:cs="仿宋_GB2312" w:eastAsia="仿宋_GB2312"/>
                    </w:rPr>
                    <w:t>1副</w:t>
                  </w:r>
                </w:p>
              </w:tc>
              <w:tc>
                <w:tcPr>
                  <w:tcW w:type="dxa" w:w="511"/>
                </w:tcPr>
                <w:p>
                  <w:pPr>
                    <w:pStyle w:val="null3"/>
                    <w:jc w:val="center"/>
                  </w:pPr>
                  <w:r>
                    <w:rPr>
                      <w:rFonts w:ascii="仿宋_GB2312" w:hAnsi="仿宋_GB2312" w:cs="仿宋_GB2312" w:eastAsia="仿宋_GB2312"/>
                    </w:rPr>
                    <w:t>4400元/副</w:t>
                  </w:r>
                </w:p>
              </w:tc>
              <w:tc>
                <w:tcPr>
                  <w:tcW w:type="dxa" w:w="511"/>
                  <w:vMerge w:val="restart"/>
                </w:tcPr>
                <w:p>
                  <w:pPr>
                    <w:pStyle w:val="null3"/>
                  </w:pPr>
                  <w:r>
                    <w:rPr>
                      <w:rFonts w:ascii="仿宋_GB2312" w:hAnsi="仿宋_GB2312" w:cs="仿宋_GB2312" w:eastAsia="仿宋_GB2312"/>
                    </w:rPr>
                    <w:t>所有器材符合GB19272-2011</w:t>
                  </w:r>
                  <w:r>
                    <w:br/>
                  </w:r>
                  <w:r>
                    <w:rPr>
                      <w:rFonts w:ascii="仿宋_GB2312" w:hAnsi="仿宋_GB2312" w:cs="仿宋_GB2312" w:eastAsia="仿宋_GB2312"/>
                    </w:rPr>
                    <w:t xml:space="preserve"> 《室外健身器材的安全通用要求》；质保期≥8年。</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室外乒乓球台</w:t>
                  </w:r>
                </w:p>
              </w:tc>
              <w:tc>
                <w:tcPr>
                  <w:tcW w:type="dxa" w:w="511"/>
                </w:tcPr>
                <w:p>
                  <w:pPr>
                    <w:pStyle w:val="null3"/>
                    <w:jc w:val="center"/>
                  </w:pPr>
                  <w:r>
                    <w:rPr>
                      <w:rFonts w:ascii="仿宋_GB2312" w:hAnsi="仿宋_GB2312" w:cs="仿宋_GB2312" w:eastAsia="仿宋_GB2312"/>
                    </w:rPr>
                    <w:t>2副</w:t>
                  </w:r>
                </w:p>
              </w:tc>
              <w:tc>
                <w:tcPr>
                  <w:tcW w:type="dxa" w:w="511"/>
                </w:tcPr>
                <w:p>
                  <w:pPr>
                    <w:pStyle w:val="null3"/>
                    <w:jc w:val="center"/>
                  </w:pPr>
                  <w:r>
                    <w:rPr>
                      <w:rFonts w:ascii="仿宋_GB2312" w:hAnsi="仿宋_GB2312" w:cs="仿宋_GB2312" w:eastAsia="仿宋_GB2312"/>
                    </w:rPr>
                    <w:t>2300元/副</w:t>
                  </w:r>
                </w:p>
              </w:tc>
              <w:tc>
                <w:tcPr>
                  <w:tcW w:type="dxa" w:w="511"/>
                  <w:vMerge/>
                </w:tcP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椭圆机</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2600元/件</w:t>
                  </w:r>
                </w:p>
              </w:tc>
              <w:tc>
                <w:tcPr>
                  <w:tcW w:type="dxa" w:w="511"/>
                  <w:vMerge/>
                </w:tcP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三位扭腰器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2600元/件</w:t>
                  </w:r>
                </w:p>
              </w:tc>
              <w:tc>
                <w:tcPr>
                  <w:tcW w:type="dxa" w:w="511"/>
                  <w:vMerge/>
                </w:tcP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双杠（含悬浮地板）</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3500元/件</w:t>
                  </w:r>
                </w:p>
              </w:tc>
              <w:tc>
                <w:tcPr>
                  <w:tcW w:type="dxa" w:w="511"/>
                  <w:vMerge/>
                </w:tcP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上肢牵引器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1800元/件</w:t>
                  </w:r>
                </w:p>
              </w:tc>
              <w:tc>
                <w:tcPr>
                  <w:tcW w:type="dxa" w:w="511"/>
                  <w:vMerge/>
                </w:tcP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太极揉推器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1500元/件</w:t>
                  </w:r>
                </w:p>
              </w:tc>
              <w:tc>
                <w:tcPr>
                  <w:tcW w:type="dxa" w:w="511"/>
                  <w:vMerge/>
                </w:tcP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腰背按摩器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2500元/件</w:t>
                  </w:r>
                </w:p>
              </w:tc>
              <w:tc>
                <w:tcPr>
                  <w:tcW w:type="dxa" w:w="511"/>
                  <w:vMerge/>
                </w:tcP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告示牌</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1500元/件</w:t>
                  </w:r>
                </w:p>
              </w:tc>
              <w:tc>
                <w:tcPr>
                  <w:tcW w:type="dxa" w:w="511"/>
                  <w:vMerge/>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2.全民健身路径B类型(10套）</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设备名称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单价限价</w:t>
                  </w:r>
                </w:p>
              </w:tc>
              <w:tc>
                <w:tcPr>
                  <w:tcW w:type="dxa" w:w="511"/>
                </w:tcPr>
                <w:p>
                  <w:pPr>
                    <w:pStyle w:val="null3"/>
                    <w:jc w:val="center"/>
                  </w:pPr>
                  <w:r>
                    <w:rPr>
                      <w:rFonts w:ascii="仿宋_GB2312" w:hAnsi="仿宋_GB2312" w:cs="仿宋_GB2312" w:eastAsia="仿宋_GB2312"/>
                    </w:rPr>
                    <w:t>采购要求</w:t>
                  </w: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室外乒乓球台</w:t>
                  </w:r>
                </w:p>
              </w:tc>
              <w:tc>
                <w:tcPr>
                  <w:tcW w:type="dxa" w:w="511"/>
                </w:tcPr>
                <w:p>
                  <w:pPr>
                    <w:pStyle w:val="null3"/>
                    <w:jc w:val="center"/>
                  </w:pPr>
                  <w:r>
                    <w:rPr>
                      <w:rFonts w:ascii="仿宋_GB2312" w:hAnsi="仿宋_GB2312" w:cs="仿宋_GB2312" w:eastAsia="仿宋_GB2312"/>
                    </w:rPr>
                    <w:t>1副</w:t>
                  </w:r>
                </w:p>
              </w:tc>
              <w:tc>
                <w:tcPr>
                  <w:tcW w:type="dxa" w:w="511"/>
                </w:tcPr>
                <w:p>
                  <w:pPr>
                    <w:pStyle w:val="null3"/>
                    <w:jc w:val="center"/>
                  </w:pPr>
                  <w:r>
                    <w:rPr>
                      <w:rFonts w:ascii="仿宋_GB2312" w:hAnsi="仿宋_GB2312" w:cs="仿宋_GB2312" w:eastAsia="仿宋_GB2312"/>
                    </w:rPr>
                    <w:t>2300元/副</w:t>
                  </w:r>
                </w:p>
              </w:tc>
              <w:tc>
                <w:tcPr>
                  <w:tcW w:type="dxa" w:w="511"/>
                  <w:vMerge w:val="restart"/>
                </w:tcPr>
                <w:p>
                  <w:pPr>
                    <w:pStyle w:val="null3"/>
                  </w:pPr>
                  <w:r>
                    <w:rPr>
                      <w:rFonts w:ascii="仿宋_GB2312" w:hAnsi="仿宋_GB2312" w:cs="仿宋_GB2312" w:eastAsia="仿宋_GB2312"/>
                    </w:rPr>
                    <w:t>所有器材符合B19272-2011</w:t>
                  </w:r>
                  <w:r>
                    <w:br/>
                  </w:r>
                  <w:r>
                    <w:rPr>
                      <w:rFonts w:ascii="仿宋_GB2312" w:hAnsi="仿宋_GB2312" w:cs="仿宋_GB2312" w:eastAsia="仿宋_GB2312"/>
                    </w:rPr>
                    <w:t xml:space="preserve"> 《室外健身器材的安全通用要求》；质保期≥8年。</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椭圆机</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2600元/件</w:t>
                  </w:r>
                </w:p>
              </w:tc>
              <w:tc>
                <w:tcPr>
                  <w:tcW w:type="dxa" w:w="511"/>
                  <w:vMerge/>
                </w:tcP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三位扭腰器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2600元/件</w:t>
                  </w:r>
                </w:p>
              </w:tc>
              <w:tc>
                <w:tcPr>
                  <w:tcW w:type="dxa" w:w="511"/>
                  <w:vMerge/>
                </w:tcP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双杠（含悬浮地板）</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3500元/件</w:t>
                  </w:r>
                </w:p>
              </w:tc>
              <w:tc>
                <w:tcPr>
                  <w:tcW w:type="dxa" w:w="511"/>
                  <w:vMerge/>
                </w:tcP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腰背按摩器</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2500元/件</w:t>
                  </w:r>
                </w:p>
              </w:tc>
              <w:tc>
                <w:tcPr>
                  <w:tcW w:type="dxa" w:w="511"/>
                  <w:vMerge/>
                </w:tcP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告示牌</w:t>
                  </w:r>
                </w:p>
              </w:tc>
              <w:tc>
                <w:tcPr>
                  <w:tcW w:type="dxa" w:w="511"/>
                </w:tcPr>
                <w:p>
                  <w:pPr>
                    <w:pStyle w:val="null3"/>
                    <w:jc w:val="center"/>
                  </w:pPr>
                  <w:r>
                    <w:rPr>
                      <w:rFonts w:ascii="仿宋_GB2312" w:hAnsi="仿宋_GB2312" w:cs="仿宋_GB2312" w:eastAsia="仿宋_GB2312"/>
                    </w:rPr>
                    <w:t>1件</w:t>
                  </w:r>
                </w:p>
              </w:tc>
              <w:tc>
                <w:tcPr>
                  <w:tcW w:type="dxa" w:w="511"/>
                </w:tcPr>
                <w:p>
                  <w:pPr>
                    <w:pStyle w:val="null3"/>
                    <w:jc w:val="center"/>
                  </w:pPr>
                  <w:r>
                    <w:rPr>
                      <w:rFonts w:ascii="仿宋_GB2312" w:hAnsi="仿宋_GB2312" w:cs="仿宋_GB2312" w:eastAsia="仿宋_GB2312"/>
                    </w:rPr>
                    <w:t>1500元/件</w:t>
                  </w:r>
                </w:p>
              </w:tc>
              <w:tc>
                <w:tcPr>
                  <w:tcW w:type="dxa" w:w="511"/>
                  <w:vMerge/>
                </w:tcPr>
                <w:p/>
              </w:tc>
            </w:tr>
          </w:tbl>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3.笼式篮球场1个：限价250000元/个</w:t>
            </w:r>
          </w:p>
          <w:p>
            <w:pPr>
              <w:pStyle w:val="null3"/>
            </w:pPr>
            <w:r>
              <w:rPr>
                <w:rFonts w:ascii="仿宋_GB2312" w:hAnsi="仿宋_GB2312" w:cs="仿宋_GB2312" w:eastAsia="仿宋_GB2312"/>
              </w:rPr>
              <w:t>（一）技术标准</w:t>
            </w:r>
          </w:p>
          <w:p>
            <w:pPr>
              <w:pStyle w:val="null3"/>
            </w:pPr>
            <w:r>
              <w:rPr>
                <w:rFonts w:ascii="仿宋_GB2312" w:hAnsi="仿宋_GB2312" w:cs="仿宋_GB2312" w:eastAsia="仿宋_GB2312"/>
              </w:rPr>
              <w:t>场地尺寸：整体占地面积33米×19米，划线面积28×15米。</w:t>
            </w:r>
          </w:p>
          <w:p>
            <w:pPr>
              <w:pStyle w:val="null3"/>
            </w:pPr>
            <w:r>
              <w:rPr>
                <w:rFonts w:ascii="仿宋_GB2312" w:hAnsi="仿宋_GB2312" w:cs="仿宋_GB2312" w:eastAsia="仿宋_GB2312"/>
              </w:rPr>
              <w:t>悬浮地板：悬浮式拼装地板采用PP改性聚丙烯；顺向铺设，减少拼接缝隙；</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（1）地板规格要求：≥30*40cm，厚度:≥1.58cm</w:t>
            </w:r>
          </w:p>
          <w:p>
            <w:pPr>
              <w:pStyle w:val="null3"/>
            </w:pPr>
            <w:r>
              <w:rPr>
                <w:rFonts w:ascii="仿宋_GB2312" w:hAnsi="仿宋_GB2312" w:cs="仿宋_GB2312" w:eastAsia="仿宋_GB2312"/>
              </w:rPr>
              <w:t>（2）球反弹率：≥90%，垂直变形：≤3mm</w:t>
            </w:r>
          </w:p>
          <w:p>
            <w:pPr>
              <w:pStyle w:val="null3"/>
            </w:pPr>
            <w:r>
              <w:rPr>
                <w:rFonts w:ascii="仿宋_GB2312" w:hAnsi="仿宋_GB2312" w:cs="仿宋_GB2312" w:eastAsia="仿宋_GB2312"/>
              </w:rPr>
              <w:t>（3）甲醛：≤0.4mg/(m².h)，甲苯、二甲苯和乙苯总和：≤1.0mg/(m².h)</w:t>
            </w:r>
          </w:p>
          <w:p>
            <w:pPr>
              <w:pStyle w:val="null3"/>
            </w:pPr>
            <w:r>
              <w:rPr>
                <w:rFonts w:ascii="仿宋_GB2312" w:hAnsi="仿宋_GB2312" w:cs="仿宋_GB2312" w:eastAsia="仿宋_GB2312"/>
              </w:rPr>
              <w:t>（4）锑、砷、钡等不低于8种可迁移元素未检出。</w:t>
            </w:r>
          </w:p>
          <w:p>
            <w:pPr>
              <w:pStyle w:val="null3"/>
            </w:pPr>
            <w:r>
              <w:rPr>
                <w:rFonts w:ascii="仿宋_GB2312" w:hAnsi="仿宋_GB2312" w:cs="仿宋_GB2312" w:eastAsia="仿宋_GB2312"/>
              </w:rPr>
              <w:t>（5）★需提供检测周期≥36个月自然光老化，垂直变形符合GB36246-2018标准0.6-3.0mm；球反弹符合GB/T14833-2020标准≥90%</w:t>
            </w:r>
          </w:p>
          <w:p>
            <w:pPr>
              <w:pStyle w:val="null3"/>
            </w:pPr>
            <w:r>
              <w:rPr>
                <w:rFonts w:ascii="仿宋_GB2312" w:hAnsi="仿宋_GB2312" w:cs="仿宋_GB2312" w:eastAsia="仿宋_GB2312"/>
              </w:rPr>
              <w:t>（6）★需提供检测周期≥2000h经耐消毒水-中性洗涤剂循环试验后，外观：无出油、无裂纹、无塌陷、无折皱、无污染、无粉化，无明显色差，灰卡等级4-5级</w:t>
            </w:r>
          </w:p>
          <w:p>
            <w:pPr>
              <w:pStyle w:val="null3"/>
            </w:pPr>
            <w:r>
              <w:rPr>
                <w:rFonts w:ascii="仿宋_GB2312" w:hAnsi="仿宋_GB2312" w:cs="仿宋_GB2312" w:eastAsia="仿宋_GB2312"/>
              </w:rPr>
              <w:t>（7）★需提供检测周期≥10000h的臭氧老化后，邵氏硬度依据GB/T531.1-2008检测标准≥70 Shore A</w:t>
            </w:r>
          </w:p>
          <w:p>
            <w:pPr>
              <w:pStyle w:val="null3"/>
            </w:pPr>
            <w:r>
              <w:rPr>
                <w:rFonts w:ascii="仿宋_GB2312" w:hAnsi="仿宋_GB2312" w:cs="仿宋_GB2312" w:eastAsia="仿宋_GB2312"/>
              </w:rPr>
              <w:t>（8）★需提供检测周期≥10000h的耐酸雨老化后，垂直变形符合GB36246-2018标准0.6-3.0mm；球反弹符合GB/T14833-2020标准≥90%</w:t>
            </w:r>
          </w:p>
          <w:p>
            <w:pPr>
              <w:pStyle w:val="null3"/>
            </w:pPr>
            <w:r>
              <w:rPr>
                <w:rFonts w:ascii="仿宋_GB2312" w:hAnsi="仿宋_GB2312" w:cs="仿宋_GB2312" w:eastAsia="仿宋_GB2312"/>
              </w:rPr>
              <w:t>上述★项为实质性响应内容，需提供包括但不限于检测报告（具有CMA和CNAS标识）、官网截图、设备彩页等证明材料。</w:t>
            </w:r>
          </w:p>
          <w:p>
            <w:pPr>
              <w:pStyle w:val="null3"/>
              <w:jc w:val="both"/>
            </w:pPr>
            <w:r>
              <w:rPr>
                <w:rFonts w:ascii="仿宋_GB2312" w:hAnsi="仿宋_GB2312" w:cs="仿宋_GB2312" w:eastAsia="仿宋_GB2312"/>
              </w:rPr>
              <w:t>围网:颜色为绿色，设置在边线、端线1.5米以外，高度不小于4米，风载荷标准值不小于0.35KN/平米。围网表面PVC包塑，丝径Ø4mm,网孔不大于50mmx50mm;主立柱采用直径不小于75mmx3mm或等强度管材，间距不大于3米，立柱埋入地下的深度应不小于400mm(特殊地层具体分析);设置网门2个，网门≥1.0米。在每个网门周边明显位置悬挂标识牌，尺寸为80cmx60cn，标牌内容另行确定;易接触的管材末端无锐角，螺钉、螺母等紧固件需做防锈、防松处理。</w:t>
            </w:r>
          </w:p>
          <w:p>
            <w:pPr>
              <w:pStyle w:val="null3"/>
            </w:pPr>
            <w:r>
              <w:rPr>
                <w:rFonts w:ascii="仿宋_GB2312" w:hAnsi="仿宋_GB2312" w:cs="仿宋_GB2312" w:eastAsia="仿宋_GB2312"/>
              </w:rPr>
              <w:t>篮球架:篮板应符合GB19272-2011标准，尺寸为1800mmx1050mm的矩形篮板，材质为钢化玻璃;立柱、悬臂梁采用直径为Φ219mm、壁厚4mm的优质管材，一次冷弯成形;篮板支撑篮架上、下拉杆采用Ф48mmx2mm优质钢管，在弯管机上一次成型，通过调节上拉杆可调节篮板的平面度和垂直度;埋地方式为预埋式;篮球架结构尺寸应符合GB23176-2008标准，篮球架伸臂长≥1800mm，符合GB19272-2011标准稳定试验要求;篮板背部连接有不少于5点的连接安装位置，且安装位置尺寸符合GB19272-2011要求;篮圈采用实心钢材制成，篮圈圈条直径为20mm，篮圈内径为450-459mm;篮圈下沿有12个均匀分布篮网装置，装置无锐边、毛刺，且装置不大于8mm的间隙;篮圈选用弹性篮圈,在去除压力后可自动返回原位置。配置球网。</w:t>
            </w:r>
          </w:p>
          <w:p>
            <w:pPr>
              <w:pStyle w:val="null3"/>
            </w:pPr>
            <w:r>
              <w:rPr>
                <w:rFonts w:ascii="仿宋_GB2312" w:hAnsi="仿宋_GB2312" w:cs="仿宋_GB2312" w:eastAsia="仿宋_GB2312"/>
              </w:rPr>
              <w:t>灯光：采用太阳能灯光，灯杆应设置在边线、端线1.5米以外，或利用球场边围网立柱架设灯具6组；灯杆高度不低于6米，场地照度不低于150勒克斯。</w:t>
            </w:r>
          </w:p>
          <w:p>
            <w:pPr>
              <w:pStyle w:val="null3"/>
            </w:pPr>
            <w:r>
              <w:rPr>
                <w:rFonts w:ascii="仿宋_GB2312" w:hAnsi="仿宋_GB2312" w:cs="仿宋_GB2312" w:eastAsia="仿宋_GB2312"/>
              </w:rPr>
              <w:t>场地画线：采用白色场地专用漆涂料喷画。界线一律为5厘米。场地划线详细规格详见附件。</w:t>
            </w:r>
          </w:p>
          <w:p>
            <w:pPr>
              <w:pStyle w:val="null3"/>
            </w:pPr>
            <w:r>
              <w:rPr>
                <w:rFonts w:ascii="仿宋_GB2312" w:hAnsi="仿宋_GB2312" w:cs="仿宋_GB2312" w:eastAsia="仿宋_GB2312"/>
              </w:rPr>
              <w:t>（二）各组成部分</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 目</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围 网</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416</w:t>
                  </w:r>
                </w:p>
              </w:tc>
              <w:tc>
                <w:tcPr>
                  <w:tcW w:type="dxa" w:w="638"/>
                </w:tcPr>
                <w:p>
                  <w:pPr>
                    <w:pStyle w:val="null3"/>
                  </w:pPr>
                  <w:r>
                    <w:rPr>
                      <w:rFonts w:ascii="仿宋_GB2312" w:hAnsi="仿宋_GB2312" w:cs="仿宋_GB2312" w:eastAsia="仿宋_GB2312"/>
                    </w:rPr>
                    <w:t>（33+19）×2×4×2</w:t>
                  </w:r>
                </w:p>
              </w:tc>
            </w:tr>
            <w:tr>
              <w:tc>
                <w:tcPr>
                  <w:tcW w:type="dxa" w:w="638"/>
                </w:tcPr>
                <w:p>
                  <w:pPr>
                    <w:pStyle w:val="null3"/>
                  </w:pPr>
                  <w:r>
                    <w:rPr>
                      <w:rFonts w:ascii="仿宋_GB2312" w:hAnsi="仿宋_GB2312" w:cs="仿宋_GB2312" w:eastAsia="仿宋_GB2312"/>
                    </w:rPr>
                    <w:t>悬浮地板（含划线）</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627</w:t>
                  </w:r>
                </w:p>
              </w:tc>
              <w:tc>
                <w:tcPr>
                  <w:tcW w:type="dxa" w:w="638"/>
                </w:tcPr>
                <w:p>
                  <w:pPr>
                    <w:pStyle w:val="null3"/>
                  </w:pPr>
                  <w:r>
                    <w:rPr>
                      <w:rFonts w:ascii="仿宋_GB2312" w:hAnsi="仿宋_GB2312" w:cs="仿宋_GB2312" w:eastAsia="仿宋_GB2312"/>
                    </w:rPr>
                    <w:t>33×19</w:t>
                  </w:r>
                </w:p>
              </w:tc>
            </w:tr>
            <w:tr>
              <w:tc>
                <w:tcPr>
                  <w:tcW w:type="dxa" w:w="638"/>
                </w:tcPr>
                <w:p>
                  <w:pPr>
                    <w:pStyle w:val="null3"/>
                  </w:pPr>
                  <w:r>
                    <w:rPr>
                      <w:rFonts w:ascii="仿宋_GB2312" w:hAnsi="仿宋_GB2312" w:cs="仿宋_GB2312" w:eastAsia="仿宋_GB2312"/>
                    </w:rPr>
                    <w:t>太阳能灯光</w:t>
                  </w:r>
                </w:p>
              </w:tc>
              <w:tc>
                <w:tcPr>
                  <w:tcW w:type="dxa" w:w="638"/>
                </w:tcPr>
                <w:p>
                  <w:pPr>
                    <w:pStyle w:val="null3"/>
                  </w:pPr>
                  <w:r>
                    <w:rPr>
                      <w:rFonts w:ascii="仿宋_GB2312" w:hAnsi="仿宋_GB2312" w:cs="仿宋_GB2312" w:eastAsia="仿宋_GB2312"/>
                    </w:rPr>
                    <w:t>组</w:t>
                  </w:r>
                </w:p>
              </w:tc>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地埋篮球架</w:t>
                  </w:r>
                </w:p>
              </w:tc>
              <w:tc>
                <w:tcPr>
                  <w:tcW w:type="dxa" w:w="638"/>
                </w:tcPr>
                <w:p>
                  <w:pPr>
                    <w:pStyle w:val="null3"/>
                  </w:pPr>
                  <w:r>
                    <w:rPr>
                      <w:rFonts w:ascii="仿宋_GB2312" w:hAnsi="仿宋_GB2312" w:cs="仿宋_GB2312" w:eastAsia="仿宋_GB2312"/>
                    </w:rPr>
                    <w:t>副</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2552"/>
                  <w:gridSpan w:val="4"/>
                </w:tcPr>
                <w:p>
                  <w:pPr>
                    <w:pStyle w:val="null3"/>
                  </w:pPr>
                  <w:r>
                    <w:rPr>
                      <w:rFonts w:ascii="仿宋_GB2312" w:hAnsi="仿宋_GB2312" w:cs="仿宋_GB2312" w:eastAsia="仿宋_GB2312"/>
                    </w:rPr>
                    <w:t>所列项目为必要内容，缺一不可。所列“数量”为最低要求。</w:t>
                  </w:r>
                </w:p>
              </w:tc>
            </w:tr>
          </w:tbl>
          <w:p>
            <w:pPr>
              <w:pStyle w:val="null3"/>
            </w:pPr>
            <w:r>
              <w:rPr>
                <w:rFonts w:ascii="仿宋_GB2312" w:hAnsi="仿宋_GB2312" w:cs="仿宋_GB2312" w:eastAsia="仿宋_GB2312"/>
              </w:rPr>
              <w:t>（三）要求</w:t>
            </w:r>
          </w:p>
          <w:p>
            <w:pPr>
              <w:pStyle w:val="null3"/>
            </w:pPr>
            <w:r>
              <w:rPr>
                <w:rFonts w:ascii="仿宋_GB2312" w:hAnsi="仿宋_GB2312" w:cs="仿宋_GB2312" w:eastAsia="仿宋_GB2312"/>
              </w:rPr>
              <w:t>质保期≥ 8 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4.群众健身房B类型(2套)</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b/>
                    </w:rPr>
                    <w:t>序号</w:t>
                  </w:r>
                </w:p>
              </w:tc>
              <w:tc>
                <w:tcPr>
                  <w:tcW w:type="dxa" w:w="426"/>
                </w:tcPr>
                <w:p>
                  <w:pPr>
                    <w:pStyle w:val="null3"/>
                  </w:pPr>
                  <w:r>
                    <w:rPr>
                      <w:rFonts w:ascii="仿宋_GB2312" w:hAnsi="仿宋_GB2312" w:cs="仿宋_GB2312" w:eastAsia="仿宋_GB2312"/>
                      <w:b/>
                    </w:rPr>
                    <w:t>器材名称</w:t>
                  </w:r>
                </w:p>
              </w:tc>
              <w:tc>
                <w:tcPr>
                  <w:tcW w:type="dxa" w:w="426"/>
                </w:tcPr>
                <w:p>
                  <w:pPr>
                    <w:pStyle w:val="null3"/>
                  </w:pPr>
                  <w:r>
                    <w:rPr>
                      <w:rFonts w:ascii="仿宋_GB2312" w:hAnsi="仿宋_GB2312" w:cs="仿宋_GB2312" w:eastAsia="仿宋_GB2312"/>
                      <w:b/>
                    </w:rPr>
                    <w:t>单价</w:t>
                  </w:r>
                </w:p>
                <w:p>
                  <w:pPr>
                    <w:pStyle w:val="null3"/>
                  </w:pPr>
                  <w:r>
                    <w:rPr>
                      <w:rFonts w:ascii="仿宋_GB2312" w:hAnsi="仿宋_GB2312" w:cs="仿宋_GB2312" w:eastAsia="仿宋_GB2312"/>
                      <w:b/>
                    </w:rPr>
                    <w:t>限价</w:t>
                  </w:r>
                </w:p>
              </w:tc>
              <w:tc>
                <w:tcPr>
                  <w:tcW w:type="dxa" w:w="426"/>
                </w:tcPr>
                <w:p>
                  <w:pPr>
                    <w:pStyle w:val="null3"/>
                  </w:pPr>
                  <w:r>
                    <w:rPr>
                      <w:rFonts w:ascii="仿宋_GB2312" w:hAnsi="仿宋_GB2312" w:cs="仿宋_GB2312" w:eastAsia="仿宋_GB2312"/>
                      <w:b/>
                    </w:rPr>
                    <w:t>单位</w:t>
                  </w:r>
                </w:p>
              </w:tc>
              <w:tc>
                <w:tcPr>
                  <w:tcW w:type="dxa" w:w="426"/>
                </w:tcPr>
                <w:p>
                  <w:pPr>
                    <w:pStyle w:val="null3"/>
                  </w:pPr>
                  <w:r>
                    <w:rPr>
                      <w:rFonts w:ascii="仿宋_GB2312" w:hAnsi="仿宋_GB2312" w:cs="仿宋_GB2312" w:eastAsia="仿宋_GB2312"/>
                      <w:b/>
                    </w:rPr>
                    <w:t>数量</w:t>
                  </w:r>
                </w:p>
              </w:tc>
              <w:tc>
                <w:tcPr>
                  <w:tcW w:type="dxa" w:w="426"/>
                </w:tcPr>
                <w:p>
                  <w:pPr>
                    <w:pStyle w:val="null3"/>
                  </w:pPr>
                  <w:r>
                    <w:rPr>
                      <w:rFonts w:ascii="仿宋_GB2312" w:hAnsi="仿宋_GB2312" w:cs="仿宋_GB2312" w:eastAsia="仿宋_GB2312"/>
                      <w:b/>
                    </w:rPr>
                    <w:t>技术标准</w:t>
                  </w:r>
                </w:p>
              </w:tc>
            </w:tr>
            <w:tr>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电动跑步机</w:t>
                  </w:r>
                </w:p>
              </w:tc>
              <w:tc>
                <w:tcPr>
                  <w:tcW w:type="dxa" w:w="426"/>
                </w:tcPr>
                <w:p>
                  <w:pPr>
                    <w:pStyle w:val="null3"/>
                  </w:pPr>
                  <w:r>
                    <w:rPr>
                      <w:rFonts w:ascii="仿宋_GB2312" w:hAnsi="仿宋_GB2312" w:cs="仿宋_GB2312" w:eastAsia="仿宋_GB2312"/>
                      <w:b/>
                    </w:rPr>
                    <w:t>15000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尺寸≥1956×910×1520 mm，跑步区域尺寸≥500×1500mm；功率≥2.0HP 功率交流电机；有显示屏；具有防滑性能；有缓冲系统；最大承重需≥150kg。</w:t>
                  </w:r>
                </w:p>
              </w:tc>
            </w:tr>
            <w:tr>
              <w:tc>
                <w:tcPr>
                  <w:tcW w:type="dxa" w:w="426"/>
                </w:tcPr>
                <w:p>
                  <w:pPr>
                    <w:pStyle w:val="null3"/>
                  </w:pPr>
                  <w:r>
                    <w:rPr>
                      <w:rFonts w:ascii="仿宋_GB2312" w:hAnsi="仿宋_GB2312" w:cs="仿宋_GB2312" w:eastAsia="仿宋_GB2312"/>
                      <w:b/>
                    </w:rPr>
                    <w:t>2</w:t>
                  </w:r>
                </w:p>
              </w:tc>
              <w:tc>
                <w:tcPr>
                  <w:tcW w:type="dxa" w:w="426"/>
                </w:tcPr>
                <w:p>
                  <w:pPr>
                    <w:pStyle w:val="null3"/>
                  </w:pPr>
                  <w:r>
                    <w:rPr>
                      <w:rFonts w:ascii="仿宋_GB2312" w:hAnsi="仿宋_GB2312" w:cs="仿宋_GB2312" w:eastAsia="仿宋_GB2312"/>
                      <w:b/>
                    </w:rPr>
                    <w:t>椭圆车</w:t>
                  </w:r>
                </w:p>
              </w:tc>
              <w:tc>
                <w:tcPr>
                  <w:tcW w:type="dxa" w:w="426"/>
                </w:tcPr>
                <w:p>
                  <w:pPr>
                    <w:pStyle w:val="null3"/>
                  </w:pPr>
                  <w:r>
                    <w:rPr>
                      <w:rFonts w:ascii="仿宋_GB2312" w:hAnsi="仿宋_GB2312" w:cs="仿宋_GB2312" w:eastAsia="仿宋_GB2312"/>
                      <w:b/>
                    </w:rPr>
                    <w:t>13000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尺寸≥1600mm×560mm×1100mm；转动轴承运转安静、流畅；传动链条需为高强度链条；有多功能控制面板（至少能够显示热量、时间、速度、转速、距离、心率）；把手可上下、前后、左右调节；最大限重≥120kg。</w:t>
                  </w:r>
                </w:p>
              </w:tc>
            </w:tr>
            <w:tr>
              <w:tc>
                <w:tcPr>
                  <w:tcW w:type="dxa" w:w="426"/>
                </w:tcPr>
                <w:p>
                  <w:pPr>
                    <w:pStyle w:val="null3"/>
                  </w:pPr>
                  <w:r>
                    <w:rPr>
                      <w:rFonts w:ascii="仿宋_GB2312" w:hAnsi="仿宋_GB2312" w:cs="仿宋_GB2312" w:eastAsia="仿宋_GB2312"/>
                      <w:b/>
                    </w:rPr>
                    <w:t>3</w:t>
                  </w:r>
                </w:p>
              </w:tc>
              <w:tc>
                <w:tcPr>
                  <w:tcW w:type="dxa" w:w="426"/>
                </w:tcPr>
                <w:p>
                  <w:pPr>
                    <w:pStyle w:val="null3"/>
                  </w:pPr>
                  <w:r>
                    <w:rPr>
                      <w:rFonts w:ascii="仿宋_GB2312" w:hAnsi="仿宋_GB2312" w:cs="仿宋_GB2312" w:eastAsia="仿宋_GB2312"/>
                      <w:b/>
                    </w:rPr>
                    <w:t>划船器</w:t>
                  </w:r>
                </w:p>
              </w:tc>
              <w:tc>
                <w:tcPr>
                  <w:tcW w:type="dxa" w:w="426"/>
                </w:tcPr>
                <w:p>
                  <w:pPr>
                    <w:pStyle w:val="null3"/>
                  </w:pPr>
                  <w:r>
                    <w:rPr>
                      <w:rFonts w:ascii="仿宋_GB2312" w:hAnsi="仿宋_GB2312" w:cs="仿宋_GB2312" w:eastAsia="仿宋_GB2312"/>
                      <w:b/>
                    </w:rPr>
                    <w:t>15000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最大承重≥150kg，传动方式：链条传动，阻力系统：风阻，阻力等级：无级调节，显示窗口：≥5英寸LCD屏幕，传感器：霍尔传感器，显示信息：时间、配速/平均配速、桨频/平均桨频、距离、热量、功率/平均功率、心率/平均心率，尺寸≥2340×560×1050(mm)</w:t>
                  </w:r>
                </w:p>
              </w:tc>
            </w:tr>
            <w:tr>
              <w:tc>
                <w:tcPr>
                  <w:tcW w:type="dxa" w:w="426"/>
                </w:tcPr>
                <w:p>
                  <w:pPr>
                    <w:pStyle w:val="null3"/>
                  </w:pPr>
                  <w:r>
                    <w:rPr>
                      <w:rFonts w:ascii="仿宋_GB2312" w:hAnsi="仿宋_GB2312" w:cs="仿宋_GB2312" w:eastAsia="仿宋_GB2312"/>
                      <w:b/>
                    </w:rPr>
                    <w:t>4</w:t>
                  </w:r>
                </w:p>
              </w:tc>
              <w:tc>
                <w:tcPr>
                  <w:tcW w:type="dxa" w:w="426"/>
                </w:tcPr>
                <w:p>
                  <w:pPr>
                    <w:pStyle w:val="null3"/>
                  </w:pPr>
                  <w:r>
                    <w:rPr>
                      <w:rFonts w:ascii="仿宋_GB2312" w:hAnsi="仿宋_GB2312" w:cs="仿宋_GB2312" w:eastAsia="仿宋_GB2312"/>
                      <w:b/>
                    </w:rPr>
                    <w:t>三站综合机</w:t>
                  </w:r>
                </w:p>
              </w:tc>
              <w:tc>
                <w:tcPr>
                  <w:tcW w:type="dxa" w:w="426"/>
                </w:tcPr>
                <w:p>
                  <w:pPr>
                    <w:pStyle w:val="null3"/>
                  </w:pPr>
                  <w:r>
                    <w:rPr>
                      <w:rFonts w:ascii="仿宋_GB2312" w:hAnsi="仿宋_GB2312" w:cs="仿宋_GB2312" w:eastAsia="仿宋_GB2312"/>
                      <w:b/>
                    </w:rPr>
                    <w:t>15600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尺寸≥1872×1626×2200（mm）；重量≥222kg； 不锈钢护罩;钢索：国产≥φ4.8mm钢索;滑轮：滑轮采用健身房器材的专用轴承滑轮；至少满足十种锻炼方式。</w:t>
                  </w:r>
                </w:p>
              </w:tc>
            </w:tr>
            <w:tr>
              <w:tc>
                <w:tcPr>
                  <w:tcW w:type="dxa" w:w="426"/>
                </w:tcPr>
                <w:p>
                  <w:pPr>
                    <w:pStyle w:val="null3"/>
                  </w:pPr>
                  <w:r>
                    <w:rPr>
                      <w:rFonts w:ascii="仿宋_GB2312" w:hAnsi="仿宋_GB2312" w:cs="仿宋_GB2312" w:eastAsia="仿宋_GB2312"/>
                      <w:b/>
                    </w:rPr>
                    <w:t>5</w:t>
                  </w:r>
                </w:p>
              </w:tc>
              <w:tc>
                <w:tcPr>
                  <w:tcW w:type="dxa" w:w="426"/>
                </w:tcPr>
                <w:p>
                  <w:pPr>
                    <w:pStyle w:val="null3"/>
                  </w:pPr>
                  <w:r>
                    <w:rPr>
                      <w:rFonts w:ascii="仿宋_GB2312" w:hAnsi="仿宋_GB2312" w:cs="仿宋_GB2312" w:eastAsia="仿宋_GB2312"/>
                      <w:b/>
                    </w:rPr>
                    <w:t>多功能可调式练习椅</w:t>
                  </w:r>
                </w:p>
              </w:tc>
              <w:tc>
                <w:tcPr>
                  <w:tcW w:type="dxa" w:w="426"/>
                </w:tcPr>
                <w:p>
                  <w:pPr>
                    <w:pStyle w:val="null3"/>
                  </w:pPr>
                  <w:r>
                    <w:rPr>
                      <w:rFonts w:ascii="仿宋_GB2312" w:hAnsi="仿宋_GB2312" w:cs="仿宋_GB2312" w:eastAsia="仿宋_GB2312"/>
                      <w:b/>
                    </w:rPr>
                    <w:t>2500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尺寸≥1220×740×730(mm)；按压式伸缩调节装置，可选择不同训练难度</w:t>
                  </w:r>
                </w:p>
              </w:tc>
            </w:tr>
            <w:tr>
              <w:tc>
                <w:tcPr>
                  <w:tcW w:type="dxa" w:w="426"/>
                </w:tcPr>
                <w:p>
                  <w:pPr>
                    <w:pStyle w:val="null3"/>
                  </w:pPr>
                  <w:r>
                    <w:rPr>
                      <w:rFonts w:ascii="仿宋_GB2312" w:hAnsi="仿宋_GB2312" w:cs="仿宋_GB2312" w:eastAsia="仿宋_GB2312"/>
                      <w:b/>
                    </w:rPr>
                    <w:t>6</w:t>
                  </w:r>
                </w:p>
              </w:tc>
              <w:tc>
                <w:tcPr>
                  <w:tcW w:type="dxa" w:w="426"/>
                </w:tcPr>
                <w:p>
                  <w:pPr>
                    <w:pStyle w:val="null3"/>
                  </w:pPr>
                  <w:r>
                    <w:rPr>
                      <w:rFonts w:ascii="仿宋_GB2312" w:hAnsi="仿宋_GB2312" w:cs="仿宋_GB2312" w:eastAsia="仿宋_GB2312"/>
                      <w:b/>
                    </w:rPr>
                    <w:t>腹肌板</w:t>
                  </w:r>
                </w:p>
              </w:tc>
              <w:tc>
                <w:tcPr>
                  <w:tcW w:type="dxa" w:w="426"/>
                </w:tcPr>
                <w:p>
                  <w:pPr>
                    <w:pStyle w:val="null3"/>
                  </w:pPr>
                  <w:r>
                    <w:rPr>
                      <w:rFonts w:ascii="仿宋_GB2312" w:hAnsi="仿宋_GB2312" w:cs="仿宋_GB2312" w:eastAsia="仿宋_GB2312"/>
                      <w:b/>
                    </w:rPr>
                    <w:t>1300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尺寸≥1600×550×1100(mm)；把手防滑；重量≥30kg</w:t>
                  </w:r>
                </w:p>
              </w:tc>
            </w:tr>
            <w:tr>
              <w:tc>
                <w:tcPr>
                  <w:tcW w:type="dxa" w:w="426"/>
                </w:tcPr>
                <w:p>
                  <w:pPr>
                    <w:pStyle w:val="null3"/>
                  </w:pPr>
                  <w:r>
                    <w:rPr>
                      <w:rFonts w:ascii="仿宋_GB2312" w:hAnsi="仿宋_GB2312" w:cs="仿宋_GB2312" w:eastAsia="仿宋_GB2312"/>
                      <w:b/>
                    </w:rPr>
                    <w:t>7</w:t>
                  </w:r>
                </w:p>
              </w:tc>
              <w:tc>
                <w:tcPr>
                  <w:tcW w:type="dxa" w:w="426"/>
                </w:tcPr>
                <w:p>
                  <w:pPr>
                    <w:pStyle w:val="null3"/>
                  </w:pPr>
                  <w:r>
                    <w:rPr>
                      <w:rFonts w:ascii="仿宋_GB2312" w:hAnsi="仿宋_GB2312" w:cs="仿宋_GB2312" w:eastAsia="仿宋_GB2312"/>
                      <w:b/>
                    </w:rPr>
                    <w:t>温馨提示牌</w:t>
                  </w:r>
                </w:p>
              </w:tc>
              <w:tc>
                <w:tcPr>
                  <w:tcW w:type="dxa" w:w="426"/>
                </w:tcPr>
                <w:p>
                  <w:pPr>
                    <w:pStyle w:val="null3"/>
                  </w:pPr>
                  <w:r>
                    <w:rPr>
                      <w:rFonts w:ascii="仿宋_GB2312" w:hAnsi="仿宋_GB2312" w:cs="仿宋_GB2312" w:eastAsia="仿宋_GB2312"/>
                      <w:b/>
                    </w:rPr>
                    <w:t>350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尺寸50cm×70cm；亚克力材质。将提示内容夹于其中，装订在室内墙面；具体内容另行提供。</w:t>
                  </w:r>
                </w:p>
              </w:tc>
            </w:tr>
            <w:tr>
              <w:tc>
                <w:tcPr>
                  <w:tcW w:type="dxa" w:w="426"/>
                </w:tcPr>
                <w:p>
                  <w:pPr>
                    <w:pStyle w:val="null3"/>
                  </w:pPr>
                  <w:r>
                    <w:rPr>
                      <w:rFonts w:ascii="仿宋_GB2312" w:hAnsi="仿宋_GB2312" w:cs="仿宋_GB2312" w:eastAsia="仿宋_GB2312"/>
                      <w:b/>
                    </w:rPr>
                    <w:t>8</w:t>
                  </w:r>
                </w:p>
              </w:tc>
              <w:tc>
                <w:tcPr>
                  <w:tcW w:type="dxa" w:w="426"/>
                </w:tcPr>
                <w:p>
                  <w:pPr>
                    <w:pStyle w:val="null3"/>
                  </w:pPr>
                  <w:r>
                    <w:rPr>
                      <w:rFonts w:ascii="仿宋_GB2312" w:hAnsi="仿宋_GB2312" w:cs="仿宋_GB2312" w:eastAsia="仿宋_GB2312"/>
                      <w:b/>
                    </w:rPr>
                    <w:t>告示牌</w:t>
                  </w:r>
                </w:p>
              </w:tc>
              <w:tc>
                <w:tcPr>
                  <w:tcW w:type="dxa" w:w="426"/>
                </w:tcPr>
                <w:p>
                  <w:pPr>
                    <w:pStyle w:val="null3"/>
                  </w:pPr>
                  <w:r>
                    <w:rPr>
                      <w:rFonts w:ascii="仿宋_GB2312" w:hAnsi="仿宋_GB2312" w:cs="仿宋_GB2312" w:eastAsia="仿宋_GB2312"/>
                      <w:b/>
                    </w:rPr>
                    <w:t>400</w:t>
                  </w:r>
                </w:p>
              </w:tc>
              <w:tc>
                <w:tcPr>
                  <w:tcW w:type="dxa" w:w="426"/>
                </w:tcPr>
                <w:p>
                  <w:pPr>
                    <w:pStyle w:val="null3"/>
                  </w:pPr>
                  <w:r>
                    <w:rPr>
                      <w:rFonts w:ascii="仿宋_GB2312" w:hAnsi="仿宋_GB2312" w:cs="仿宋_GB2312" w:eastAsia="仿宋_GB2312"/>
                      <w:b/>
                    </w:rPr>
                    <w:t>件</w:t>
                  </w:r>
                </w:p>
              </w:tc>
              <w:tc>
                <w:tcPr>
                  <w:tcW w:type="dxa" w:w="426"/>
                </w:tcPr>
                <w:p>
                  <w:pPr>
                    <w:pStyle w:val="null3"/>
                  </w:pPr>
                  <w:r>
                    <w:rPr>
                      <w:rFonts w:ascii="仿宋_GB2312" w:hAnsi="仿宋_GB2312" w:cs="仿宋_GB2312" w:eastAsia="仿宋_GB2312"/>
                      <w:b/>
                    </w:rPr>
                    <w:t>1</w:t>
                  </w:r>
                </w:p>
              </w:tc>
              <w:tc>
                <w:tcPr>
                  <w:tcW w:type="dxa" w:w="426"/>
                </w:tcPr>
                <w:p>
                  <w:pPr>
                    <w:pStyle w:val="null3"/>
                  </w:pPr>
                  <w:r>
                    <w:rPr>
                      <w:rFonts w:ascii="仿宋_GB2312" w:hAnsi="仿宋_GB2312" w:cs="仿宋_GB2312" w:eastAsia="仿宋_GB2312"/>
                      <w:b/>
                    </w:rPr>
                    <w:t>尺寸40×60cm；铝钢材质；不锈钢烤漆丝印；装订在室外墙面；具体内容另行提供。</w:t>
                  </w:r>
                </w:p>
              </w:tc>
            </w:tr>
            <w:tr>
              <w:tc>
                <w:tcPr>
                  <w:tcW w:type="dxa" w:w="426"/>
                </w:tcPr>
                <w:p>
                  <w:pPr>
                    <w:pStyle w:val="null3"/>
                  </w:pPr>
                  <w:r>
                    <w:rPr>
                      <w:rFonts w:ascii="仿宋_GB2312" w:hAnsi="仿宋_GB2312" w:cs="仿宋_GB2312" w:eastAsia="仿宋_GB2312"/>
                      <w:b/>
                    </w:rPr>
                    <w:t>9</w:t>
                  </w:r>
                </w:p>
              </w:tc>
              <w:tc>
                <w:tcPr>
                  <w:tcW w:type="dxa" w:w="426"/>
                </w:tcPr>
                <w:p>
                  <w:pPr>
                    <w:pStyle w:val="null3"/>
                  </w:pPr>
                  <w:r>
                    <w:rPr>
                      <w:rFonts w:ascii="仿宋_GB2312" w:hAnsi="仿宋_GB2312" w:cs="仿宋_GB2312" w:eastAsia="仿宋_GB2312"/>
                      <w:b/>
                    </w:rPr>
                    <w:t>场地地胶</w:t>
                  </w:r>
                </w:p>
              </w:tc>
              <w:tc>
                <w:tcPr>
                  <w:tcW w:type="dxa" w:w="426"/>
                </w:tcPr>
                <w:p>
                  <w:pPr>
                    <w:pStyle w:val="null3"/>
                  </w:pPr>
                  <w:r>
                    <w:rPr>
                      <w:rFonts w:ascii="仿宋_GB2312" w:hAnsi="仿宋_GB2312" w:cs="仿宋_GB2312" w:eastAsia="仿宋_GB2312"/>
                      <w:b/>
                    </w:rPr>
                    <w:t>200</w:t>
                  </w:r>
                </w:p>
              </w:tc>
              <w:tc>
                <w:tcPr>
                  <w:tcW w:type="dxa" w:w="426"/>
                </w:tcPr>
                <w:p>
                  <w:pPr>
                    <w:pStyle w:val="null3"/>
                  </w:pPr>
                  <w:r>
                    <w:rPr>
                      <w:rFonts w:ascii="仿宋_GB2312" w:hAnsi="仿宋_GB2312" w:cs="仿宋_GB2312" w:eastAsia="仿宋_GB2312"/>
                      <w:b/>
                    </w:rPr>
                    <w:t>㎡</w:t>
                  </w:r>
                </w:p>
              </w:tc>
              <w:tc>
                <w:tcPr>
                  <w:tcW w:type="dxa" w:w="426"/>
                </w:tcPr>
                <w:p>
                  <w:pPr>
                    <w:pStyle w:val="null3"/>
                  </w:pPr>
                  <w:r>
                    <w:rPr>
                      <w:rFonts w:ascii="仿宋_GB2312" w:hAnsi="仿宋_GB2312" w:cs="仿宋_GB2312" w:eastAsia="仿宋_GB2312"/>
                      <w:b/>
                    </w:rPr>
                    <w:t>60</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厚度不小于4.5mm，颜色灰色，不小于1.3mmPVC耐磨层，缓冲层厚度不小于3mm</w:t>
                  </w:r>
                </w:p>
                <w:p>
                  <w:pPr>
                    <w:pStyle w:val="null3"/>
                  </w:pPr>
                  <w:r>
                    <w:rPr>
                      <w:rFonts w:ascii="仿宋_GB2312" w:hAnsi="仿宋_GB2312" w:cs="仿宋_GB2312" w:eastAsia="仿宋_GB2312"/>
                      <w:b/>
                    </w:rPr>
                    <w:t>1.垂直变形：0.6-3.0mm抗滑值（BPN,20℃）：80-110（干测）</w:t>
                  </w:r>
                </w:p>
                <w:p>
                  <w:pPr>
                    <w:pStyle w:val="null3"/>
                  </w:pPr>
                  <w:r>
                    <w:rPr>
                      <w:rFonts w:ascii="仿宋_GB2312" w:hAnsi="仿宋_GB2312" w:cs="仿宋_GB2312" w:eastAsia="仿宋_GB2312"/>
                      <w:b/>
                    </w:rPr>
                    <w:t>2.氯乙烯单体≤5mg/kg；挥发物≤75g/㎡可溶性铅≤20mg/㎡；可溶性镉≤20mg/㎡</w:t>
                  </w:r>
                </w:p>
                <w:p>
                  <w:pPr>
                    <w:pStyle w:val="null3"/>
                  </w:pPr>
                  <w:r>
                    <w:rPr>
                      <w:rFonts w:ascii="仿宋_GB2312" w:hAnsi="仿宋_GB2312" w:cs="仿宋_GB2312" w:eastAsia="仿宋_GB2312"/>
                      <w:b/>
                    </w:rPr>
                    <w:t>3.有害物质短链氯化石蜡、中链氯化石蜡、长链氯化石蜡：未检出</w:t>
                  </w:r>
                </w:p>
                <w:p>
                  <w:pPr>
                    <w:pStyle w:val="null3"/>
                  </w:pPr>
                  <w:r>
                    <w:rPr>
                      <w:rFonts w:ascii="仿宋_GB2312" w:hAnsi="仿宋_GB2312" w:cs="仿宋_GB2312" w:eastAsia="仿宋_GB2312"/>
                      <w:b/>
                    </w:rPr>
                    <w:t>4.★需提供检测周期≥10000h臭氧老化，邵氏硬度依据GB/T531.1-2008检测标准70-90Shore A</w:t>
                  </w:r>
                </w:p>
                <w:p>
                  <w:pPr>
                    <w:pStyle w:val="null3"/>
                  </w:pPr>
                  <w:r>
                    <w:rPr>
                      <w:rFonts w:ascii="仿宋_GB2312" w:hAnsi="仿宋_GB2312" w:cs="仿宋_GB2312" w:eastAsia="仿宋_GB2312"/>
                      <w:b/>
                    </w:rPr>
                    <w:t>5.★需提供检测周期≥2000h环境适应性循环测试（湿热-冻融-氙灯-雨水浸泡），外观：无出油、无裂纹、无塌陷、无折皱、无污染、无粉化，无明显色差，灰卡等级4-5级，抗滑值依据GB36246-2018标准80-110</w:t>
                  </w:r>
                </w:p>
                <w:p>
                  <w:pPr>
                    <w:pStyle w:val="null3"/>
                  </w:pPr>
                  <w:r>
                    <w:rPr>
                      <w:rFonts w:ascii="仿宋_GB2312" w:hAnsi="仿宋_GB2312" w:cs="仿宋_GB2312" w:eastAsia="仿宋_GB2312"/>
                      <w:b/>
                    </w:rPr>
                    <w:t>6.★需提供检测周期≥336h耐湿热检测，符合GB/T43565-2023标准，拉伸强度老化前后≥0.7MPa,拉断伸长率老化前后≥80%，老化前后保持率≥80%。</w:t>
                  </w:r>
                </w:p>
                <w:p>
                  <w:pPr>
                    <w:pStyle w:val="null3"/>
                  </w:pPr>
                  <w:r>
                    <w:rPr>
                      <w:rFonts w:ascii="仿宋_GB2312" w:hAnsi="仿宋_GB2312" w:cs="仿宋_GB2312" w:eastAsia="仿宋_GB2312"/>
                      <w:b/>
                    </w:rPr>
                    <w:t>上述★项为实质性响应内容，需提供包括但不限于检测报告（具有CMA和CNAS标识）、官网截图、设备彩页等证明材料。</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1.交货期：自合同签订之日起45个日历日完成全部项目内容，并交付采购人验收合格</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（1）合同签订后10个工作日内支付合同总价款的40%作为预付款。</w:t>
            </w:r>
          </w:p>
          <w:p>
            <w:pPr>
              <w:pStyle w:val="null3"/>
            </w:pPr>
            <w:r>
              <w:rPr>
                <w:rFonts w:ascii="仿宋_GB2312" w:hAnsi="仿宋_GB2312" w:cs="仿宋_GB2312" w:eastAsia="仿宋_GB2312"/>
              </w:rPr>
              <w:t>（2）设备安装调试验收合格后支付剩余合同价款；</w:t>
            </w:r>
          </w:p>
          <w:p>
            <w:pPr>
              <w:pStyle w:val="null3"/>
            </w:pPr>
            <w:r>
              <w:rPr>
                <w:rFonts w:ascii="仿宋_GB2312" w:hAnsi="仿宋_GB2312" w:cs="仿宋_GB2312" w:eastAsia="仿宋_GB2312"/>
              </w:rPr>
              <w:t>（3）由成交单位按照谈判文件中约定的付款方式向使用单位提出申请，征得西安市莲湖区财政局同意后，待财政拨付到位后可按文件中规定的付款方式进行结算。</w:t>
            </w:r>
          </w:p>
          <w:p>
            <w:pPr>
              <w:pStyle w:val="null3"/>
            </w:pPr>
            <w:r>
              <w:rPr>
                <w:rFonts w:ascii="仿宋_GB2312" w:hAnsi="仿宋_GB2312" w:cs="仿宋_GB2312" w:eastAsia="仿宋_GB2312"/>
              </w:rPr>
              <w:t>3.质保期：验收合格后不少于8年。</w:t>
            </w:r>
          </w:p>
          <w:p>
            <w:pPr>
              <w:pStyle w:val="null3"/>
            </w:pPr>
            <w:r>
              <w:rPr>
                <w:rFonts w:ascii="仿宋_GB2312" w:hAnsi="仿宋_GB2312" w:cs="仿宋_GB2312" w:eastAsia="仿宋_GB2312"/>
              </w:rPr>
              <w:t>4.其他要求：按照合同约定时间，按甲方指定地点提供货物，配合验收工作，提供的货物有质量保证，提交货物实施过程中的所有资料，以便甲方日后管理和维护。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2.采购人根据使用部门自身技术检验结果，组织有关专家进行设备的最终验收。最终验收结果作为付款依据，乙方填写验收单，并向甲方提交实施过程中的所有资料，以便甲方日后管理和维护。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验收合格后不少于8年。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向西安仲裁委员会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1.本项目专门面向中小企业，供应商应为中小微企业或监狱企业或残疾人福利性单位。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财务状况审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详见附件：西安市莲湖区文化和旅游体育局全民健身基础设施援建项目合同.docx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