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AEBA5">
      <w:pPr>
        <w:jc w:val="center"/>
        <w:rPr>
          <w:rFonts w:hint="eastAsia" w:ascii="仿宋" w:hAnsi="仿宋" w:eastAsia="仿宋" w:cs="仿宋"/>
          <w:b/>
          <w:bCs/>
          <w:sz w:val="44"/>
          <w:szCs w:val="44"/>
          <w:highlight w:val="none"/>
          <w:lang w:eastAsia="zh-CN"/>
        </w:rPr>
      </w:pPr>
    </w:p>
    <w:p w14:paraId="20C0C810">
      <w:pPr>
        <w:jc w:val="center"/>
        <w:rPr>
          <w:rFonts w:hint="eastAsia" w:ascii="仿宋" w:hAnsi="仿宋" w:eastAsia="仿宋" w:cs="仿宋"/>
          <w:b/>
          <w:bCs/>
          <w:sz w:val="44"/>
          <w:szCs w:val="44"/>
          <w:highlight w:val="none"/>
          <w:lang w:eastAsia="zh-CN"/>
        </w:rPr>
      </w:pPr>
    </w:p>
    <w:p w14:paraId="3832DA30">
      <w:pPr>
        <w:jc w:val="center"/>
        <w:rPr>
          <w:rFonts w:hint="eastAsia" w:ascii="仿宋" w:hAnsi="仿宋" w:eastAsia="仿宋" w:cs="仿宋"/>
          <w:b/>
          <w:bCs/>
          <w:sz w:val="44"/>
          <w:szCs w:val="44"/>
          <w:highlight w:val="none"/>
          <w:lang w:eastAsia="zh-CN"/>
        </w:rPr>
      </w:pPr>
    </w:p>
    <w:p w14:paraId="62ADC42F">
      <w:pPr>
        <w:jc w:val="center"/>
        <w:rPr>
          <w:rFonts w:hint="eastAsia" w:ascii="仿宋" w:hAnsi="仿宋" w:eastAsia="仿宋" w:cs="仿宋"/>
          <w:b/>
          <w:bCs/>
          <w:sz w:val="44"/>
          <w:szCs w:val="44"/>
          <w:highlight w:val="none"/>
          <w:lang w:eastAsia="zh-CN"/>
        </w:rPr>
      </w:pPr>
    </w:p>
    <w:p w14:paraId="303F8118">
      <w:pPr>
        <w:jc w:val="center"/>
        <w:rPr>
          <w:rFonts w:hint="eastAsia" w:ascii="仿宋" w:hAnsi="仿宋" w:eastAsia="仿宋" w:cs="仿宋"/>
          <w:b/>
          <w:bCs/>
          <w:sz w:val="44"/>
          <w:szCs w:val="44"/>
          <w:highlight w:val="none"/>
          <w:lang w:eastAsia="zh-CN"/>
        </w:rPr>
      </w:pPr>
    </w:p>
    <w:p w14:paraId="6CBE2325">
      <w:pPr>
        <w:jc w:val="center"/>
        <w:rPr>
          <w:rFonts w:hint="eastAsia" w:ascii="仿宋" w:hAnsi="仿宋" w:eastAsia="仿宋" w:cs="仿宋"/>
          <w:b/>
          <w:bCs/>
          <w:sz w:val="44"/>
          <w:szCs w:val="44"/>
          <w:highlight w:val="none"/>
        </w:rPr>
      </w:pPr>
      <w:bookmarkStart w:id="31" w:name="_GoBack"/>
      <w:bookmarkEnd w:id="31"/>
      <w:r>
        <w:rPr>
          <w:rFonts w:hint="eastAsia" w:ascii="仿宋" w:hAnsi="仿宋" w:eastAsia="仿宋" w:cs="仿宋"/>
          <w:b/>
          <w:bCs/>
          <w:sz w:val="44"/>
          <w:szCs w:val="44"/>
          <w:highlight w:val="none"/>
          <w:lang w:eastAsia="zh-CN"/>
        </w:rPr>
        <w:t>西安市莲湖区文化和旅游体育局全民健身基础设施援建项目</w:t>
      </w:r>
      <w:r>
        <w:rPr>
          <w:rFonts w:hint="eastAsia" w:ascii="仿宋" w:hAnsi="仿宋" w:eastAsia="仿宋" w:cs="仿宋"/>
          <w:b/>
          <w:bCs/>
          <w:sz w:val="44"/>
          <w:szCs w:val="44"/>
          <w:highlight w:val="none"/>
        </w:rPr>
        <w:t>合同</w:t>
      </w:r>
    </w:p>
    <w:p w14:paraId="087A8164">
      <w:pPr>
        <w:pStyle w:val="4"/>
        <w:rPr>
          <w:rFonts w:hint="eastAsia" w:ascii="仿宋" w:hAnsi="仿宋" w:eastAsia="仿宋" w:cs="仿宋"/>
          <w:highlight w:val="none"/>
        </w:rPr>
      </w:pPr>
    </w:p>
    <w:p w14:paraId="305C0C8A">
      <w:pPr>
        <w:rPr>
          <w:rFonts w:hint="eastAsia" w:ascii="仿宋" w:hAnsi="仿宋" w:eastAsia="仿宋" w:cs="仿宋"/>
          <w:highlight w:val="none"/>
        </w:rPr>
      </w:pPr>
    </w:p>
    <w:p w14:paraId="4FFE14ED">
      <w:pPr>
        <w:rPr>
          <w:rFonts w:hint="eastAsia" w:ascii="仿宋" w:hAnsi="仿宋" w:eastAsia="仿宋" w:cs="仿宋"/>
          <w:highlight w:val="none"/>
        </w:rPr>
      </w:pPr>
    </w:p>
    <w:p w14:paraId="14631485">
      <w:pPr>
        <w:pStyle w:val="6"/>
        <w:ind w:firstLine="210"/>
        <w:rPr>
          <w:rFonts w:hint="eastAsia" w:ascii="仿宋" w:hAnsi="仿宋" w:eastAsia="仿宋" w:cs="仿宋"/>
          <w:highlight w:val="none"/>
        </w:rPr>
      </w:pPr>
    </w:p>
    <w:p w14:paraId="507D539E">
      <w:pPr>
        <w:pStyle w:val="6"/>
        <w:ind w:firstLine="210"/>
        <w:rPr>
          <w:rFonts w:hint="eastAsia" w:ascii="仿宋" w:hAnsi="仿宋" w:eastAsia="仿宋" w:cs="仿宋"/>
          <w:highlight w:val="none"/>
        </w:rPr>
      </w:pPr>
    </w:p>
    <w:p w14:paraId="20FA48F6">
      <w:pPr>
        <w:rPr>
          <w:rFonts w:hint="eastAsia" w:ascii="仿宋" w:hAnsi="仿宋" w:eastAsia="仿宋" w:cs="仿宋"/>
          <w:highlight w:val="none"/>
        </w:rPr>
      </w:pPr>
    </w:p>
    <w:p w14:paraId="6FF37245">
      <w:pPr>
        <w:pStyle w:val="9"/>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3E223FCD">
      <w:pPr>
        <w:rPr>
          <w:rFonts w:hint="eastAsia" w:ascii="仿宋" w:hAnsi="仿宋" w:eastAsia="仿宋" w:cs="仿宋"/>
          <w:b/>
          <w:sz w:val="36"/>
          <w:szCs w:val="36"/>
          <w:highlight w:val="none"/>
        </w:rPr>
      </w:pPr>
      <w:r>
        <w:rPr>
          <w:rFonts w:hint="eastAsia" w:ascii="仿宋" w:hAnsi="仿宋" w:eastAsia="仿宋" w:cs="仿宋"/>
          <w:b/>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highlight w:val="none"/>
        </w:rPr>
      </w:pPr>
    </w:p>
    <w:p w14:paraId="6863BFE6">
      <w:pPr>
        <w:adjustRightInd w:val="0"/>
        <w:snapToGrid w:val="0"/>
        <w:spacing w:line="360" w:lineRule="auto"/>
        <w:ind w:firstLine="422" w:firstLineChars="200"/>
        <w:rPr>
          <w:rFonts w:hint="eastAsia" w:ascii="仿宋" w:hAnsi="仿宋" w:eastAsia="仿宋" w:cs="仿宋"/>
          <w:b/>
          <w:highlight w:val="none"/>
          <w:lang w:val="en-US" w:eastAsia="zh-CN"/>
        </w:rPr>
      </w:pPr>
      <w:r>
        <w:rPr>
          <w:rFonts w:hint="eastAsia" w:ascii="仿宋" w:hAnsi="仿宋" w:eastAsia="仿宋" w:cs="仿宋"/>
          <w:b/>
          <w:highlight w:val="none"/>
        </w:rPr>
        <w:t>采购人（全称）：</w:t>
      </w:r>
      <w:r>
        <w:rPr>
          <w:rFonts w:hint="eastAsia" w:ascii="仿宋" w:hAnsi="仿宋" w:eastAsia="仿宋" w:cs="仿宋"/>
          <w:b/>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highlight w:val="none"/>
        </w:rPr>
      </w:pPr>
      <w:r>
        <w:rPr>
          <w:rFonts w:hint="eastAsia" w:ascii="仿宋" w:hAnsi="仿宋" w:eastAsia="仿宋" w:cs="仿宋"/>
          <w:b/>
          <w:highlight w:val="none"/>
        </w:rPr>
        <w:t>供应商（全称）：</w:t>
      </w:r>
      <w:r>
        <w:rPr>
          <w:rFonts w:hint="eastAsia" w:ascii="仿宋" w:hAnsi="仿宋" w:eastAsia="仿宋" w:cs="仿宋"/>
          <w:b/>
          <w:highlight w:val="none"/>
          <w:u w:val="single"/>
        </w:rPr>
        <w:t xml:space="preserve">                                   </w:t>
      </w:r>
      <w:r>
        <w:rPr>
          <w:rFonts w:hint="eastAsia" w:ascii="仿宋" w:hAnsi="仿宋" w:eastAsia="仿宋" w:cs="仿宋"/>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highlight w:val="none"/>
        </w:rPr>
      </w:pPr>
      <w:r>
        <w:rPr>
          <w:rFonts w:hint="eastAsia" w:ascii="仿宋" w:hAnsi="仿宋" w:eastAsia="仿宋" w:cs="仿宋"/>
          <w:b/>
          <w:highlight w:val="none"/>
        </w:rPr>
        <w:t>一、项目概况</w:t>
      </w:r>
    </w:p>
    <w:p w14:paraId="7F34072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E5CE64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3B1C935">
      <w:pPr>
        <w:spacing w:line="360" w:lineRule="auto"/>
        <w:rPr>
          <w:rFonts w:hint="eastAsia" w:ascii="仿宋" w:hAnsi="仿宋" w:eastAsia="仿宋" w:cs="仿宋"/>
          <w:b/>
          <w:highlight w:val="none"/>
        </w:rPr>
      </w:pPr>
      <w:r>
        <w:rPr>
          <w:rFonts w:hint="eastAsia" w:ascii="仿宋" w:hAnsi="仿宋" w:eastAsia="仿宋" w:cs="仿宋"/>
          <w:b/>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1.协议书；</w:t>
      </w:r>
    </w:p>
    <w:p w14:paraId="51C370F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61C48D9">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70F0F9A4">
      <w:pPr>
        <w:spacing w:line="360" w:lineRule="auto"/>
        <w:rPr>
          <w:rFonts w:hint="eastAsia" w:ascii="仿宋" w:hAnsi="仿宋" w:eastAsia="仿宋" w:cs="仿宋"/>
          <w:b/>
          <w:highlight w:val="none"/>
        </w:rPr>
      </w:pPr>
      <w:r>
        <w:rPr>
          <w:rFonts w:hint="eastAsia" w:ascii="仿宋" w:hAnsi="仿宋" w:eastAsia="仿宋" w:cs="仿宋"/>
          <w:b/>
          <w:highlight w:val="none"/>
        </w:rPr>
        <w:t>三、合同金额</w:t>
      </w:r>
    </w:p>
    <w:p w14:paraId="5EADC8D1">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1.本合同为</w:t>
      </w:r>
      <w:r>
        <w:rPr>
          <w:rFonts w:hint="eastAsia" w:ascii="仿宋" w:hAnsi="仿宋" w:eastAsia="仿宋" w:cs="仿宋"/>
          <w:highlight w:val="none"/>
          <w:lang w:val="en-US" w:eastAsia="zh-CN"/>
        </w:rPr>
        <w:t>总</w:t>
      </w:r>
      <w:r>
        <w:rPr>
          <w:rFonts w:hint="eastAsia" w:ascii="仿宋" w:hAnsi="仿宋" w:eastAsia="仿宋" w:cs="仿宋"/>
          <w:highlight w:val="none"/>
        </w:rPr>
        <w:t>价合同。</w:t>
      </w:r>
    </w:p>
    <w:p w14:paraId="607530B3">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1D3DED9">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4"/>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23C15365">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w:t>
      </w:r>
      <w:r>
        <w:rPr>
          <w:rFonts w:hint="eastAsia" w:ascii="仿宋" w:hAnsi="仿宋" w:eastAsia="仿宋" w:cs="仿宋"/>
          <w:szCs w:val="24"/>
          <w:highlight w:val="none"/>
          <w:lang w:val="en-US" w:eastAsia="zh-CN"/>
        </w:rPr>
        <w:t>使用单位</w:t>
      </w:r>
      <w:r>
        <w:rPr>
          <w:rFonts w:hint="eastAsia" w:ascii="仿宋" w:hAnsi="仿宋" w:eastAsia="仿宋" w:cs="仿宋"/>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2.付款方式：</w:t>
      </w:r>
      <w:r>
        <w:rPr>
          <w:rFonts w:hint="eastAsia" w:ascii="仿宋" w:hAnsi="仿宋" w:eastAsia="仿宋" w:cs="仿宋"/>
          <w:szCs w:val="24"/>
          <w:highlight w:val="none"/>
          <w:u w:val="single"/>
        </w:rPr>
        <w:t>（1）合同签订后10个工作日内支付合同总价款的40%作为预付款。</w:t>
      </w:r>
    </w:p>
    <w:p w14:paraId="6AAC36C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lang w:eastAsia="zh-CN"/>
        </w:rPr>
      </w:pPr>
      <w:r>
        <w:rPr>
          <w:rFonts w:hint="eastAsia" w:ascii="仿宋" w:hAnsi="仿宋" w:eastAsia="仿宋" w:cs="仿宋"/>
          <w:szCs w:val="24"/>
          <w:highlight w:val="none"/>
          <w:u w:val="single"/>
          <w:lang w:eastAsia="zh-CN"/>
        </w:rPr>
        <w:t>（</w:t>
      </w:r>
      <w:r>
        <w:rPr>
          <w:rFonts w:hint="eastAsia" w:ascii="仿宋" w:hAnsi="仿宋" w:eastAsia="仿宋" w:cs="仿宋"/>
          <w:szCs w:val="24"/>
          <w:highlight w:val="none"/>
          <w:u w:val="single"/>
          <w:lang w:val="en-US" w:eastAsia="zh-CN"/>
        </w:rPr>
        <w:t>2</w:t>
      </w:r>
      <w:r>
        <w:rPr>
          <w:rFonts w:hint="eastAsia" w:ascii="仿宋" w:hAnsi="仿宋" w:eastAsia="仿宋" w:cs="仿宋"/>
          <w:szCs w:val="24"/>
          <w:highlight w:val="none"/>
          <w:u w:val="single"/>
          <w:lang w:eastAsia="zh-CN"/>
        </w:rPr>
        <w:t>）设备安装调试验收合格后支付剩余合同价款；</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u w:val="single"/>
        </w:rPr>
        <w:t>（</w:t>
      </w:r>
      <w:r>
        <w:rPr>
          <w:rFonts w:hint="eastAsia" w:ascii="仿宋" w:hAnsi="仿宋" w:eastAsia="仿宋" w:cs="仿宋"/>
          <w:szCs w:val="24"/>
          <w:highlight w:val="none"/>
          <w:u w:val="single"/>
          <w:lang w:val="en-US" w:eastAsia="zh-CN"/>
        </w:rPr>
        <w:t>3</w:t>
      </w:r>
      <w:r>
        <w:rPr>
          <w:rFonts w:hint="eastAsia" w:ascii="仿宋" w:hAnsi="仿宋" w:eastAsia="仿宋" w:cs="仿宋"/>
          <w:szCs w:val="24"/>
          <w:highlight w:val="none"/>
          <w:u w:val="single"/>
        </w:rPr>
        <w:t>）由成交单位按照谈判文件中约定的付款方式向使用单位提出申请，征得西安市莲湖区财政局同意后，待财政拨付到位后可按文件中规定的付款方式进行结算。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szCs w:val="24"/>
          <w:highlight w:val="none"/>
          <w:lang w:eastAsia="zh-CN"/>
        </w:rPr>
      </w:pPr>
      <w:r>
        <w:rPr>
          <w:rFonts w:hint="eastAsia" w:ascii="仿宋" w:hAnsi="仿宋" w:eastAsia="仿宋" w:cs="仿宋"/>
          <w:b/>
          <w:szCs w:val="24"/>
          <w:highlight w:val="none"/>
        </w:rPr>
        <w:t>五、交货期：</w:t>
      </w:r>
      <w:r>
        <w:rPr>
          <w:rFonts w:hint="eastAsia" w:ascii="仿宋" w:hAnsi="仿宋" w:eastAsia="仿宋" w:cs="仿宋"/>
          <w:b/>
          <w:szCs w:val="24"/>
          <w:highlight w:val="none"/>
          <w:lang w:eastAsia="zh-CN"/>
        </w:rPr>
        <w:t>自合同签订之日起45个日历日完成全部项目内容，并交付采购人验收合格。</w:t>
      </w:r>
    </w:p>
    <w:p w14:paraId="51876A78">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六、质保期：验收合格后不少于8年。</w:t>
      </w:r>
    </w:p>
    <w:p w14:paraId="6A0920B1">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552E526C">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szCs w:val="24"/>
          <w:highlight w:val="none"/>
        </w:rPr>
      </w:pPr>
      <w:bookmarkStart w:id="0" w:name="_Toc13024"/>
      <w:bookmarkStart w:id="1" w:name="_Toc18856"/>
      <w:bookmarkStart w:id="2" w:name="_Toc6161"/>
      <w:r>
        <w:rPr>
          <w:rFonts w:hint="eastAsia" w:ascii="仿宋" w:hAnsi="仿宋" w:eastAsia="仿宋" w:cs="仿宋"/>
          <w:b/>
          <w:szCs w:val="24"/>
          <w:highlight w:val="none"/>
        </w:rPr>
        <w:t>供货内容一览表</w:t>
      </w:r>
      <w:bookmarkEnd w:id="0"/>
      <w:bookmarkEnd w:id="1"/>
      <w:bookmarkEnd w:id="2"/>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szCs w:val="24"/>
                <w:highlight w:val="none"/>
              </w:rPr>
            </w:pPr>
            <w:bookmarkStart w:id="3" w:name="_Toc27392"/>
            <w:bookmarkStart w:id="4" w:name="_Toc21512"/>
            <w:bookmarkStart w:id="5" w:name="_Toc16506"/>
            <w:bookmarkStart w:id="6" w:name="_Toc30417"/>
            <w:r>
              <w:rPr>
                <w:rFonts w:hint="eastAsia" w:ascii="仿宋" w:hAnsi="仿宋" w:eastAsia="仿宋" w:cs="仿宋"/>
                <w:b/>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szCs w:val="24"/>
                <w:highlight w:val="none"/>
              </w:rPr>
            </w:pPr>
            <w:bookmarkStart w:id="7" w:name="_Toc8981"/>
            <w:bookmarkStart w:id="8" w:name="_Toc109"/>
            <w:bookmarkStart w:id="9" w:name="_Toc15345"/>
            <w:bookmarkStart w:id="10" w:name="_Toc27421"/>
            <w:r>
              <w:rPr>
                <w:rFonts w:hint="eastAsia" w:ascii="仿宋" w:hAnsi="仿宋" w:eastAsia="仿宋" w:cs="仿宋"/>
                <w:b/>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szCs w:val="24"/>
                <w:highlight w:val="none"/>
              </w:rPr>
            </w:pPr>
            <w:bookmarkStart w:id="11" w:name="_Toc10570"/>
            <w:bookmarkStart w:id="12" w:name="_Toc14127"/>
            <w:bookmarkStart w:id="13" w:name="_Toc14339"/>
            <w:bookmarkStart w:id="14" w:name="_Toc20611"/>
            <w:r>
              <w:rPr>
                <w:rFonts w:hint="eastAsia" w:ascii="仿宋" w:hAnsi="仿宋" w:eastAsia="仿宋" w:cs="仿宋"/>
                <w:b/>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szCs w:val="24"/>
                <w:highlight w:val="none"/>
              </w:rPr>
            </w:pPr>
            <w:bookmarkStart w:id="15" w:name="_Toc15777"/>
            <w:bookmarkStart w:id="16" w:name="_Toc879"/>
            <w:bookmarkStart w:id="17" w:name="_Toc31109"/>
            <w:bookmarkStart w:id="18" w:name="_Toc21991"/>
            <w:r>
              <w:rPr>
                <w:rFonts w:hint="eastAsia" w:ascii="仿宋" w:hAnsi="仿宋" w:eastAsia="仿宋" w:cs="仿宋"/>
                <w:b/>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szCs w:val="24"/>
                <w:highlight w:val="none"/>
              </w:rPr>
            </w:pPr>
            <w:bookmarkStart w:id="19" w:name="_Toc12748"/>
            <w:bookmarkStart w:id="20" w:name="_Toc23428"/>
            <w:bookmarkStart w:id="21" w:name="_Toc6689"/>
            <w:bookmarkStart w:id="22" w:name="_Toc28024"/>
            <w:r>
              <w:rPr>
                <w:rFonts w:hint="eastAsia" w:ascii="仿宋" w:hAnsi="仿宋" w:eastAsia="仿宋" w:cs="仿宋"/>
                <w:b/>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szCs w:val="24"/>
                <w:highlight w:val="none"/>
              </w:rPr>
            </w:pPr>
            <w:bookmarkStart w:id="23" w:name="_Toc2991"/>
            <w:bookmarkStart w:id="24" w:name="_Toc10344"/>
            <w:bookmarkStart w:id="25" w:name="_Toc21882"/>
            <w:bookmarkStart w:id="26" w:name="_Toc916"/>
            <w:r>
              <w:rPr>
                <w:rFonts w:hint="eastAsia" w:ascii="仿宋" w:hAnsi="仿宋" w:eastAsia="仿宋" w:cs="仿宋"/>
                <w:b/>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szCs w:val="24"/>
                <w:highlight w:val="none"/>
              </w:rPr>
            </w:pPr>
            <w:bookmarkStart w:id="27" w:name="_Toc17703"/>
            <w:bookmarkStart w:id="28" w:name="_Toc31273"/>
            <w:bookmarkStart w:id="29" w:name="_Toc18945"/>
            <w:bookmarkStart w:id="30" w:name="_Toc10193"/>
            <w:r>
              <w:rPr>
                <w:rFonts w:hint="eastAsia" w:ascii="仿宋" w:hAnsi="仿宋" w:eastAsia="仿宋" w:cs="仿宋"/>
                <w:b/>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szCs w:val="24"/>
                <w:highlight w:val="none"/>
              </w:rPr>
            </w:pPr>
          </w:p>
        </w:tc>
      </w:tr>
    </w:tbl>
    <w:p w14:paraId="7E9E4C4E">
      <w:pPr>
        <w:spacing w:line="360" w:lineRule="auto"/>
        <w:rPr>
          <w:rFonts w:hint="eastAsia" w:ascii="仿宋" w:hAnsi="仿宋" w:eastAsia="仿宋" w:cs="仿宋"/>
          <w:highlight w:val="none"/>
        </w:rPr>
      </w:pPr>
      <w:r>
        <w:rPr>
          <w:rFonts w:hint="eastAsia" w:ascii="仿宋" w:hAnsi="仿宋" w:eastAsia="仿宋" w:cs="仿宋"/>
          <w:b/>
          <w:szCs w:val="24"/>
          <w:highlight w:val="none"/>
        </w:rPr>
        <w:t xml:space="preserve">八、运输、安装、调试要求 </w:t>
      </w:r>
    </w:p>
    <w:p w14:paraId="7F274D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4820615F">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w:t>
      </w:r>
      <w:r>
        <w:rPr>
          <w:rFonts w:hint="eastAsia" w:ascii="仿宋" w:hAnsi="仿宋" w:eastAsia="仿宋" w:cs="仿宋"/>
          <w:b/>
          <w:bCs/>
          <w:szCs w:val="24"/>
          <w:highlight w:val="none"/>
        </w:rPr>
        <w:t>技术培训</w:t>
      </w:r>
    </w:p>
    <w:p w14:paraId="12B8A7D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应包括产品使用操作、保养、维修等培训内容。供应商需</w:t>
      </w:r>
      <w:r>
        <w:rPr>
          <w:rFonts w:hint="eastAsia" w:ascii="仿宋" w:hAnsi="仿宋" w:eastAsia="仿宋" w:cs="仿宋"/>
          <w:highlight w:val="none"/>
        </w:rPr>
        <w:t>按采购人要求的时间为</w:t>
      </w:r>
      <w:r>
        <w:rPr>
          <w:rFonts w:hint="eastAsia" w:ascii="仿宋" w:hAnsi="仿宋" w:eastAsia="仿宋" w:cs="仿宋"/>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697574C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供应商应向采购人提供全套中文技术资料一套，其费用包括在</w:t>
      </w:r>
      <w:r>
        <w:rPr>
          <w:rFonts w:hint="eastAsia" w:ascii="仿宋" w:hAnsi="仿宋" w:eastAsia="仿宋" w:cs="仿宋"/>
          <w:szCs w:val="24"/>
          <w:highlight w:val="none"/>
        </w:rPr>
        <w:t>谈判</w:t>
      </w:r>
      <w:r>
        <w:rPr>
          <w:rFonts w:hint="eastAsia" w:ascii="仿宋" w:hAnsi="仿宋" w:eastAsia="仿宋" w:cs="仿宋"/>
          <w:szCs w:val="22"/>
          <w:highlight w:val="none"/>
        </w:rPr>
        <w:t>价格中：</w:t>
      </w:r>
    </w:p>
    <w:p w14:paraId="6C4646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szCs w:val="22"/>
          <w:highlight w:val="none"/>
        </w:rPr>
      </w:pPr>
      <w:r>
        <w:rPr>
          <w:rFonts w:hint="eastAsia" w:ascii="仿宋" w:hAnsi="仿宋" w:eastAsia="仿宋" w:cs="仿宋"/>
          <w:szCs w:val="22"/>
          <w:highlight w:val="none"/>
        </w:rPr>
        <w:t>3.产品验收标准；</w:t>
      </w:r>
    </w:p>
    <w:p w14:paraId="1AE82F0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4.技术说明书及必需的其它技术资料；</w:t>
      </w:r>
    </w:p>
    <w:p w14:paraId="5EE0E05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5.产品安装，调试、维修线路图及原理图；</w:t>
      </w:r>
    </w:p>
    <w:p w14:paraId="0BF219F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6.零部件目录；</w:t>
      </w:r>
    </w:p>
    <w:p w14:paraId="4418C1A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7.备品备件、易损件清单；</w:t>
      </w:r>
    </w:p>
    <w:p w14:paraId="0D39264E">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8.整体验收后提供验收报告；</w:t>
      </w:r>
    </w:p>
    <w:p w14:paraId="3E8D6A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9.合同中要求的其他文件资料；</w:t>
      </w:r>
    </w:p>
    <w:p w14:paraId="32356AA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10.检定/校准报告。</w:t>
      </w:r>
    </w:p>
    <w:p w14:paraId="2C0FD31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0E27FD1D">
      <w:pPr>
        <w:spacing w:line="360" w:lineRule="auto"/>
        <w:ind w:firstLine="420" w:firstLineChars="200"/>
        <w:rPr>
          <w:rFonts w:hint="eastAsia" w:ascii="仿宋" w:hAnsi="仿宋" w:eastAsia="仿宋" w:cs="仿宋"/>
          <w:highlight w:val="none"/>
        </w:rPr>
      </w:pPr>
      <w:r>
        <w:rPr>
          <w:rFonts w:hint="eastAsia" w:ascii="仿宋" w:hAnsi="仿宋" w:eastAsia="仿宋" w:cs="仿宋"/>
          <w:szCs w:val="24"/>
          <w:highlight w:val="none"/>
        </w:rPr>
        <w:t>1.供应商</w:t>
      </w:r>
      <w:r>
        <w:rPr>
          <w:rFonts w:hint="eastAsia" w:ascii="仿宋" w:hAnsi="仿宋" w:eastAsia="仿宋" w:cs="仿宋"/>
          <w:highlight w:val="none"/>
        </w:rPr>
        <w:t>提供的</w:t>
      </w:r>
      <w:r>
        <w:rPr>
          <w:rFonts w:hint="eastAsia" w:ascii="仿宋" w:hAnsi="仿宋" w:eastAsia="仿宋" w:cs="仿宋"/>
          <w:szCs w:val="24"/>
          <w:highlight w:val="none"/>
        </w:rPr>
        <w:t>产品</w:t>
      </w:r>
      <w:r>
        <w:rPr>
          <w:rFonts w:hint="eastAsia" w:ascii="仿宋" w:hAnsi="仿宋" w:eastAsia="仿宋" w:cs="仿宋"/>
          <w:highlight w:val="none"/>
        </w:rPr>
        <w:t>及材料必须保证质量可靠，为市场最新或主流</w:t>
      </w:r>
      <w:r>
        <w:rPr>
          <w:rFonts w:hint="eastAsia" w:ascii="仿宋" w:hAnsi="仿宋" w:eastAsia="仿宋" w:cs="仿宋"/>
          <w:szCs w:val="24"/>
          <w:highlight w:val="none"/>
        </w:rPr>
        <w:t>产品</w:t>
      </w:r>
      <w:r>
        <w:rPr>
          <w:rFonts w:hint="eastAsia" w:ascii="仿宋" w:hAnsi="仿宋" w:eastAsia="仿宋" w:cs="仿宋"/>
          <w:highlight w:val="none"/>
        </w:rPr>
        <w:t>，进货渠道正常，配置合理齐全，应全面满足竞争性</w:t>
      </w:r>
      <w:r>
        <w:rPr>
          <w:rFonts w:hint="eastAsia" w:ascii="仿宋" w:hAnsi="仿宋" w:eastAsia="仿宋" w:cs="仿宋"/>
          <w:szCs w:val="24"/>
          <w:highlight w:val="none"/>
        </w:rPr>
        <w:t>谈判</w:t>
      </w:r>
      <w:r>
        <w:rPr>
          <w:rFonts w:hint="eastAsia" w:ascii="仿宋" w:hAnsi="仿宋" w:eastAsia="仿宋" w:cs="仿宋"/>
          <w:highlight w:val="none"/>
        </w:rPr>
        <w:t>文件的要求，竞争性</w:t>
      </w:r>
      <w:r>
        <w:rPr>
          <w:rFonts w:hint="eastAsia" w:ascii="仿宋" w:hAnsi="仿宋" w:eastAsia="仿宋" w:cs="仿宋"/>
          <w:szCs w:val="24"/>
          <w:highlight w:val="none"/>
        </w:rPr>
        <w:t>谈判</w:t>
      </w:r>
      <w:r>
        <w:rPr>
          <w:rFonts w:hint="eastAsia" w:ascii="仿宋" w:hAnsi="仿宋" w:eastAsia="仿宋" w:cs="仿宋"/>
          <w:highlight w:val="none"/>
        </w:rPr>
        <w:t>文件未明确要求的内容，供应商须按采购</w:t>
      </w:r>
      <w:r>
        <w:rPr>
          <w:rFonts w:hint="eastAsia" w:ascii="仿宋" w:hAnsi="仿宋" w:eastAsia="仿宋" w:cs="仿宋"/>
          <w:szCs w:val="24"/>
          <w:highlight w:val="none"/>
        </w:rPr>
        <w:t>产品</w:t>
      </w:r>
      <w:r>
        <w:rPr>
          <w:rFonts w:hint="eastAsia" w:ascii="仿宋" w:hAnsi="仿宋" w:eastAsia="仿宋" w:cs="仿宋"/>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highlight w:val="none"/>
        </w:rPr>
        <w:t>。</w:t>
      </w:r>
    </w:p>
    <w:p w14:paraId="071E2A4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113DB1D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6B53F47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10.</w:t>
      </w:r>
      <w:r>
        <w:rPr>
          <w:rFonts w:hint="eastAsia" w:ascii="仿宋" w:hAnsi="仿宋" w:eastAsia="仿宋" w:cs="仿宋"/>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5B6458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46E92CC9">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十三、</w:t>
      </w:r>
      <w:r>
        <w:rPr>
          <w:rFonts w:hint="eastAsia" w:ascii="仿宋" w:hAnsi="仿宋" w:eastAsia="仿宋" w:cs="仿宋"/>
          <w:b/>
          <w:bCs/>
          <w:szCs w:val="24"/>
          <w:highlight w:val="none"/>
        </w:rPr>
        <w:t>验收</w:t>
      </w:r>
    </w:p>
    <w:p w14:paraId="01B340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15B91960">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6439C96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28D501D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22B2783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07FF647E">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5A3F96C9">
      <w:pPr>
        <w:spacing w:line="360" w:lineRule="auto"/>
        <w:rPr>
          <w:rFonts w:hint="eastAsia" w:ascii="仿宋" w:hAnsi="仿宋" w:eastAsia="仿宋" w:cs="仿宋"/>
          <w:b/>
          <w:highlight w:val="none"/>
        </w:rPr>
      </w:pPr>
      <w:r>
        <w:rPr>
          <w:rFonts w:hint="eastAsia" w:ascii="仿宋" w:hAnsi="仿宋" w:eastAsia="仿宋" w:cs="仿宋"/>
          <w:b/>
          <w:highlight w:val="none"/>
        </w:rPr>
        <w:t>二十、监督和管理</w:t>
      </w:r>
    </w:p>
    <w:p w14:paraId="73ABB96A">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2、</w:t>
      </w:r>
      <w:r>
        <w:rPr>
          <w:rFonts w:hint="eastAsia" w:ascii="仿宋" w:hAnsi="仿宋" w:eastAsia="仿宋" w:cs="仿宋"/>
          <w:highlight w:val="none"/>
        </w:rPr>
        <w:t>采购人供应商</w:t>
      </w:r>
      <w:r>
        <w:rPr>
          <w:rFonts w:hint="eastAsia" w:ascii="仿宋" w:hAnsi="仿宋" w:eastAsia="仿宋" w:cs="仿宋"/>
          <w:bCs/>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highlight w:val="none"/>
        </w:rPr>
      </w:pPr>
      <w:r>
        <w:rPr>
          <w:rFonts w:hint="eastAsia" w:ascii="仿宋" w:hAnsi="仿宋" w:eastAsia="仿宋" w:cs="仿宋"/>
          <w:b/>
          <w:highlight w:val="none"/>
        </w:rPr>
        <w:t>二十一、合同订立</w:t>
      </w:r>
    </w:p>
    <w:p w14:paraId="3D914D2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4326F1C">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2.订立地点：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D42141D">
      <w:pPr>
        <w:tabs>
          <w:tab w:val="left" w:pos="980"/>
        </w:tabs>
        <w:kinsoku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贰</w:t>
      </w:r>
      <w:r>
        <w:rPr>
          <w:rFonts w:hint="eastAsia" w:ascii="仿宋" w:hAnsi="仿宋" w:eastAsia="仿宋" w:cs="仿宋"/>
          <w:highlight w:val="none"/>
        </w:rPr>
        <w:t xml:space="preserve">份采购代理机构存档 </w:t>
      </w:r>
      <w:r>
        <w:rPr>
          <w:rFonts w:hint="eastAsia" w:ascii="仿宋" w:hAnsi="仿宋" w:eastAsia="仿宋" w:cs="仿宋"/>
          <w:highlight w:val="none"/>
          <w:u w:val="single"/>
        </w:rPr>
        <w:t xml:space="preserve">壹 </w:t>
      </w:r>
      <w:r>
        <w:rPr>
          <w:rFonts w:hint="eastAsia" w:ascii="仿宋" w:hAnsi="仿宋" w:eastAsia="仿宋" w:cs="仿宋"/>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4"/>
        <w:rPr>
          <w:rFonts w:hint="eastAsia" w:ascii="仿宋" w:hAnsi="仿宋" w:eastAsia="仿宋" w:cs="仿宋"/>
          <w:highlight w:val="none"/>
        </w:rPr>
      </w:pPr>
    </w:p>
    <w:p w14:paraId="0701D9C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采购人：</w:t>
      </w:r>
      <w:r>
        <w:rPr>
          <w:rFonts w:hint="eastAsia" w:ascii="仿宋" w:hAnsi="仿宋" w:eastAsia="仿宋" w:cs="仿宋"/>
          <w:highlight w:val="none"/>
          <w:u w:val="single"/>
        </w:rPr>
        <w:t xml:space="preserve">   （盖章）      </w:t>
      </w:r>
      <w:r>
        <w:rPr>
          <w:rFonts w:hint="eastAsia" w:ascii="仿宋" w:hAnsi="仿宋" w:eastAsia="仿宋" w:cs="仿宋"/>
          <w:highlight w:val="none"/>
        </w:rPr>
        <w:t xml:space="preserve">            </w:t>
      </w:r>
      <w:r>
        <w:rPr>
          <w:rFonts w:hint="eastAsia" w:ascii="仿宋" w:hAnsi="仿宋" w:eastAsia="仿宋" w:cs="仿宋"/>
          <w:highlight w:val="none"/>
          <w:lang w:val="en-US" w:eastAsia="zh-CN"/>
        </w:rPr>
        <w:t>供应商</w:t>
      </w:r>
      <w:r>
        <w:rPr>
          <w:rFonts w:hint="eastAsia" w:ascii="仿宋" w:hAnsi="仿宋" w:eastAsia="仿宋" w:cs="仿宋"/>
          <w:highlight w:val="none"/>
        </w:rPr>
        <w:t>：</w:t>
      </w:r>
      <w:r>
        <w:rPr>
          <w:rFonts w:hint="eastAsia" w:ascii="仿宋" w:hAnsi="仿宋" w:eastAsia="仿宋" w:cs="仿宋"/>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highlight w:val="none"/>
          <w:u w:val="single"/>
        </w:rPr>
      </w:pPr>
      <w:r>
        <w:rPr>
          <w:rFonts w:hint="eastAsia" w:ascii="仿宋" w:hAnsi="仿宋" w:eastAsia="仿宋" w:cs="仿宋"/>
          <w:highlight w:val="none"/>
        </w:rPr>
        <w:t xml:space="preserve">地 址：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开户银行：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214E8A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电话：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电话：</w:t>
      </w:r>
      <w:r>
        <w:rPr>
          <w:rFonts w:hint="eastAsia" w:ascii="仿宋" w:hAnsi="仿宋" w:eastAsia="仿宋" w:cs="仿宋"/>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传真：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传真：</w:t>
      </w:r>
      <w:r>
        <w:rPr>
          <w:rFonts w:hint="eastAsia" w:ascii="仿宋" w:hAnsi="仿宋" w:eastAsia="仿宋" w:cs="仿宋"/>
          <w:highlight w:val="none"/>
          <w:u w:val="single"/>
        </w:rPr>
        <w:t xml:space="preserve">                       </w:t>
      </w:r>
    </w:p>
    <w:p w14:paraId="14AA7D38">
      <w:pPr>
        <w:ind w:firstLine="420" w:firstLineChars="200"/>
      </w:pPr>
      <w:r>
        <w:rPr>
          <w:rFonts w:hint="eastAsia" w:ascii="仿宋" w:hAnsi="仿宋" w:eastAsia="仿宋" w:cs="仿宋"/>
          <w:highlight w:val="none"/>
        </w:rPr>
        <w:t>电子邮箱：</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电子邮箱：</w:t>
      </w:r>
      <w:r>
        <w:rPr>
          <w:rFonts w:hint="eastAsia" w:ascii="仿宋" w:hAnsi="仿宋" w:eastAsia="仿宋" w:cs="仿宋"/>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E20C1"/>
    <w:rsid w:val="3FCE2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52" w:firstLineChars="233"/>
    </w:pPr>
    <w:rPr>
      <w:rFonts w:ascii="Times New Roman"/>
      <w:sz w:val="28"/>
    </w:rPr>
  </w:style>
  <w:style w:type="paragraph" w:styleId="4">
    <w:name w:val="Body Text"/>
    <w:basedOn w:val="1"/>
    <w:next w:val="1"/>
    <w:qFormat/>
    <w:uiPriority w:val="0"/>
    <w:pPr>
      <w:spacing w:after="12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Body Text First Indent"/>
    <w:basedOn w:val="4"/>
    <w:next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2025-07-31T03:40:00Z</dcterms:created>
  <dc:creator>苍白假面</dc:creator>
  <cp:lastModifiedBy>苍白假面</cp:lastModifiedBy>
  <dcterms:modified xsi:type="dcterms:W3CDTF">2025-07-31T03:41:07Z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A68694320178415EA12DC99F2DD1DEC5_11</vt:lpwstr>
  </property>
  <property fmtid="{D5CDD505-2E9C-101B-9397-08002B2CF9AE}" pid="4" name="KSOTemplateDocerSaveRecord">
    <vt:lpwstr>eyJoZGlkIjoiY2U1ZTlkNThkYmUxMjkwM2M5Y2E1YWM0NWQ1ZjUwMDUiLCJ1c2VySWQiOiIyNzI4NDY5MDUifQ==</vt:lpwstr>
  </property>
</Properties>
</file>