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BBF4C">
      <w:pPr>
        <w:spacing w:line="360" w:lineRule="auto"/>
        <w:ind w:firstLine="562" w:firstLineChars="200"/>
        <w:jc w:val="center"/>
        <w:rPr>
          <w:rFonts w:hint="eastAsia" w:ascii="宋体" w:hAnsi="宋体" w:eastAsia="宋体"/>
          <w:b/>
          <w:bCs/>
          <w:sz w:val="28"/>
          <w:szCs w:val="21"/>
          <w:u w:val="none"/>
          <w:lang w:val="en-US" w:eastAsia="zh-CN"/>
        </w:rPr>
      </w:pPr>
      <w:bookmarkStart w:id="0" w:name="_GoBack"/>
      <w:bookmarkEnd w:id="0"/>
      <w:r>
        <w:rPr>
          <w:rFonts w:hint="eastAsia" w:ascii="宋体" w:hAnsi="宋体"/>
          <w:b/>
          <w:bCs/>
          <w:sz w:val="28"/>
          <w:szCs w:val="21"/>
          <w:u w:val="none"/>
          <w:lang w:val="en-US" w:eastAsia="zh-CN"/>
        </w:rPr>
        <w:t>合同范本（仅供参考）</w:t>
      </w:r>
    </w:p>
    <w:p w14:paraId="72BAB3F7">
      <w:pPr>
        <w:spacing w:line="360" w:lineRule="auto"/>
        <w:ind w:firstLine="480" w:firstLineChars="200"/>
        <w:rPr>
          <w:rFonts w:hint="eastAsia" w:ascii="宋体" w:hAnsi="宋体"/>
          <w:sz w:val="24"/>
          <w:u w:val="single"/>
        </w:rPr>
      </w:pPr>
    </w:p>
    <w:p w14:paraId="6D0CD3ED">
      <w:pPr>
        <w:spacing w:line="360" w:lineRule="auto"/>
        <w:ind w:firstLine="480" w:firstLineChars="200"/>
        <w:rPr>
          <w:rFonts w:hint="eastAsia" w:ascii="宋体" w:hAnsi="宋体"/>
          <w:sz w:val="24"/>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hAnsi="宋体"/>
          <w:sz w:val="24"/>
          <w:u w:val="single"/>
          <w:lang w:eastAsia="zh-CN"/>
        </w:rPr>
        <w:t>（</w:t>
      </w:r>
      <w:r>
        <w:rPr>
          <w:rFonts w:hint="eastAsia" w:hAnsi="宋体"/>
          <w:sz w:val="24"/>
          <w:u w:val="single"/>
          <w:lang w:val="en-US" w:eastAsia="zh-CN"/>
        </w:rPr>
        <w:t>项目名称</w:t>
      </w:r>
      <w:r>
        <w:rPr>
          <w:rFonts w:hint="eastAsia" w:hAnsi="宋体"/>
          <w:sz w:val="24"/>
          <w:u w:val="single"/>
          <w:lang w:eastAsia="zh-CN"/>
        </w:rPr>
        <w:t>）</w:t>
      </w:r>
      <w:r>
        <w:rPr>
          <w:rFonts w:hint="eastAsia" w:ascii="宋体" w:hAnsi="宋体"/>
          <w:sz w:val="24"/>
        </w:rPr>
        <w:t>采购，由</w:t>
      </w:r>
      <w:r>
        <w:rPr>
          <w:rFonts w:hint="eastAsia" w:ascii="宋体" w:hAnsi="宋体"/>
          <w:sz w:val="24"/>
          <w:u w:val="single"/>
          <w:lang w:val="en-US" w:eastAsia="zh-CN"/>
        </w:rPr>
        <w:t>陕西百岳项目管理咨询有限公司</w:t>
      </w:r>
      <w:r>
        <w:rPr>
          <w:rFonts w:hint="eastAsia" w:ascii="宋体" w:hAnsi="宋体"/>
          <w:sz w:val="24"/>
        </w:rPr>
        <w:t>组织</w:t>
      </w:r>
      <w:r>
        <w:rPr>
          <w:rFonts w:hint="eastAsia" w:hAnsi="宋体"/>
          <w:sz w:val="24"/>
          <w:lang w:val="en-US" w:eastAsia="zh-CN"/>
        </w:rPr>
        <w:t>竞争性谈判</w:t>
      </w:r>
      <w:r>
        <w:rPr>
          <w:rFonts w:hint="eastAsia" w:ascii="宋体" w:hAnsi="宋体"/>
          <w:sz w:val="24"/>
        </w:rPr>
        <w:t>，选定</w:t>
      </w:r>
      <w:r>
        <w:rPr>
          <w:rFonts w:hint="eastAsia" w:ascii="宋体" w:hAnsi="宋体"/>
          <w:sz w:val="24"/>
          <w:u w:val="single"/>
        </w:rPr>
        <w:t xml:space="preserve">         </w:t>
      </w:r>
      <w:r>
        <w:rPr>
          <w:rFonts w:hint="eastAsia" w:ascii="宋体" w:hAnsi="宋体"/>
          <w:sz w:val="24"/>
        </w:rPr>
        <w:t xml:space="preserve"> (以下简称乙方）为该项目</w:t>
      </w:r>
      <w:r>
        <w:rPr>
          <w:rFonts w:hint="eastAsia" w:hAnsi="宋体"/>
          <w:sz w:val="24"/>
          <w:lang w:val="en-US" w:eastAsia="zh-CN"/>
        </w:rPr>
        <w:t>供应商</w:t>
      </w:r>
      <w:r>
        <w:rPr>
          <w:rFonts w:hint="eastAsia" w:ascii="宋体" w:hAnsi="宋体"/>
          <w:sz w:val="24"/>
        </w:rPr>
        <w:t>。依据《中华人民共和国民法典》和《中华人民共和国政府采购法》，经甲、乙双方共同协商，按下述条款和条件签署本合同。</w:t>
      </w:r>
    </w:p>
    <w:p w14:paraId="4B2AC1C0">
      <w:pPr>
        <w:spacing w:line="360" w:lineRule="auto"/>
        <w:jc w:val="left"/>
        <w:rPr>
          <w:rFonts w:hint="eastAsia" w:ascii="宋体" w:hAnsi="宋体"/>
          <w:b/>
          <w:sz w:val="24"/>
        </w:rPr>
      </w:pPr>
      <w:r>
        <w:rPr>
          <w:rFonts w:hint="eastAsia" w:ascii="宋体" w:hAnsi="宋体"/>
          <w:b/>
          <w:sz w:val="24"/>
        </w:rPr>
        <w:t>一、合同内容</w:t>
      </w:r>
    </w:p>
    <w:p w14:paraId="2EC13A8E">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tbl>
      <w:tblPr>
        <w:tblStyle w:val="3"/>
        <w:tblW w:w="79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98"/>
        <w:gridCol w:w="800"/>
        <w:gridCol w:w="1288"/>
        <w:gridCol w:w="1578"/>
        <w:gridCol w:w="1171"/>
        <w:gridCol w:w="1167"/>
        <w:gridCol w:w="1171"/>
      </w:tblGrid>
      <w:tr w14:paraId="2E41C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jc w:val="center"/>
        </w:trPr>
        <w:tc>
          <w:tcPr>
            <w:tcW w:w="798" w:type="dxa"/>
            <w:tcBorders>
              <w:top w:val="single" w:color="000000" w:sz="6" w:space="0"/>
              <w:left w:val="single" w:color="000000" w:sz="4" w:space="0"/>
              <w:bottom w:val="single" w:color="000000" w:sz="6" w:space="0"/>
            </w:tcBorders>
            <w:vAlign w:val="center"/>
          </w:tcPr>
          <w:p w14:paraId="27D08020">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序号</w:t>
            </w:r>
          </w:p>
        </w:tc>
        <w:tc>
          <w:tcPr>
            <w:tcW w:w="800" w:type="dxa"/>
            <w:tcBorders>
              <w:top w:val="single" w:color="000000" w:sz="6" w:space="0"/>
              <w:left w:val="single" w:color="000000" w:sz="6" w:space="0"/>
              <w:bottom w:val="single" w:color="000000" w:sz="6" w:space="0"/>
              <w:right w:val="single" w:color="000000" w:sz="6" w:space="0"/>
            </w:tcBorders>
            <w:vAlign w:val="center"/>
          </w:tcPr>
          <w:p w14:paraId="25E5F3FD">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名称</w:t>
            </w:r>
          </w:p>
        </w:tc>
        <w:tc>
          <w:tcPr>
            <w:tcW w:w="1288" w:type="dxa"/>
            <w:tcBorders>
              <w:top w:val="single" w:color="000000" w:sz="6" w:space="0"/>
              <w:left w:val="single" w:color="000000" w:sz="6" w:space="0"/>
              <w:bottom w:val="single" w:color="000000" w:sz="6" w:space="0"/>
              <w:right w:val="single" w:color="000000" w:sz="6" w:space="0"/>
            </w:tcBorders>
            <w:vAlign w:val="center"/>
          </w:tcPr>
          <w:p w14:paraId="604AD5C2">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品牌/型号</w:t>
            </w:r>
          </w:p>
        </w:tc>
        <w:tc>
          <w:tcPr>
            <w:tcW w:w="1578" w:type="dxa"/>
            <w:tcBorders>
              <w:top w:val="single" w:color="000000" w:sz="6" w:space="0"/>
              <w:left w:val="single" w:color="000000" w:sz="6" w:space="0"/>
              <w:bottom w:val="single" w:color="000000" w:sz="6" w:space="0"/>
              <w:right w:val="single" w:color="000000" w:sz="6" w:space="0"/>
            </w:tcBorders>
            <w:vAlign w:val="center"/>
          </w:tcPr>
          <w:p w14:paraId="3C08DCB3">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产地</w:t>
            </w:r>
          </w:p>
        </w:tc>
        <w:tc>
          <w:tcPr>
            <w:tcW w:w="1171" w:type="dxa"/>
            <w:tcBorders>
              <w:top w:val="single" w:color="000000" w:sz="6" w:space="0"/>
              <w:left w:val="single" w:color="000000" w:sz="6" w:space="0"/>
              <w:bottom w:val="single" w:color="000000" w:sz="6" w:space="0"/>
              <w:right w:val="single" w:color="000000" w:sz="6" w:space="0"/>
            </w:tcBorders>
            <w:vAlign w:val="center"/>
          </w:tcPr>
          <w:p w14:paraId="406479DC">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数量</w:t>
            </w:r>
          </w:p>
        </w:tc>
        <w:tc>
          <w:tcPr>
            <w:tcW w:w="1167" w:type="dxa"/>
            <w:tcBorders>
              <w:top w:val="single" w:color="000000" w:sz="6" w:space="0"/>
              <w:left w:val="single" w:color="000000" w:sz="6" w:space="0"/>
              <w:bottom w:val="single" w:color="000000" w:sz="6" w:space="0"/>
              <w:right w:val="single" w:color="000000" w:sz="6" w:space="0"/>
            </w:tcBorders>
            <w:vAlign w:val="center"/>
          </w:tcPr>
          <w:p w14:paraId="616AD31E">
            <w:pPr>
              <w:snapToGrid/>
              <w:spacing w:before="0" w:beforeAutospacing="0" w:after="0" w:afterAutospacing="0" w:line="360" w:lineRule="auto"/>
              <w:jc w:val="center"/>
              <w:textAlignment w:val="baseline"/>
              <w:rPr>
                <w:rStyle w:val="5"/>
                <w:rFonts w:ascii="宋体" w:hAnsi="宋体" w:eastAsia="宋体"/>
                <w:b/>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单价</w:t>
            </w:r>
          </w:p>
          <w:p w14:paraId="56E76550">
            <w:pPr>
              <w:snapToGrid/>
              <w:spacing w:before="0" w:beforeAutospacing="0" w:after="0" w:afterAutospacing="0" w:line="360" w:lineRule="auto"/>
              <w:jc w:val="center"/>
              <w:textAlignment w:val="baseline"/>
              <w:rPr>
                <w:rStyle w:val="5"/>
                <w:rFonts w:ascii="宋体" w:hAnsi="宋体" w:eastAsia="宋体" w:cs="宋体"/>
                <w:b/>
                <w:bCs/>
                <w:i w:val="0"/>
                <w:caps w:val="0"/>
                <w:color w:val="auto"/>
                <w:spacing w:val="0"/>
                <w:w w:val="100"/>
                <w:sz w:val="24"/>
                <w:highlight w:val="none"/>
                <w:lang w:val="en-US" w:eastAsia="zh-CN" w:bidi="ar-SA"/>
              </w:rPr>
            </w:pPr>
            <w:r>
              <w:rPr>
                <w:rStyle w:val="5"/>
                <w:rFonts w:ascii="宋体" w:hAnsi="宋体" w:eastAsia="宋体"/>
                <w:b/>
                <w:i w:val="0"/>
                <w:caps w:val="0"/>
                <w:color w:val="auto"/>
                <w:spacing w:val="0"/>
                <w:w w:val="100"/>
                <w:sz w:val="24"/>
                <w:highlight w:val="none"/>
                <w:lang w:val="en-US" w:eastAsia="zh-CN" w:bidi="ar-SA"/>
              </w:rPr>
              <w:t>（元）</w:t>
            </w:r>
          </w:p>
        </w:tc>
        <w:tc>
          <w:tcPr>
            <w:tcW w:w="1171" w:type="dxa"/>
            <w:tcBorders>
              <w:top w:val="single" w:color="000000" w:sz="6" w:space="0"/>
              <w:left w:val="single" w:color="000000" w:sz="6" w:space="0"/>
              <w:bottom w:val="single" w:color="000000" w:sz="6" w:space="0"/>
              <w:right w:val="single" w:color="000000" w:sz="6" w:space="0"/>
            </w:tcBorders>
            <w:vAlign w:val="center"/>
          </w:tcPr>
          <w:p w14:paraId="6DF831CD">
            <w:pPr>
              <w:snapToGrid/>
              <w:spacing w:before="0" w:beforeAutospacing="0" w:after="0" w:afterAutospacing="0" w:line="360" w:lineRule="auto"/>
              <w:jc w:val="center"/>
              <w:textAlignment w:val="baseline"/>
              <w:rPr>
                <w:rStyle w:val="5"/>
                <w:rFonts w:ascii="宋体" w:hAnsi="宋体" w:eastAsia="宋体" w:cs="宋体"/>
                <w:b/>
                <w:bCs/>
                <w:i w:val="0"/>
                <w:caps w:val="0"/>
                <w:color w:val="auto"/>
                <w:spacing w:val="0"/>
                <w:w w:val="100"/>
                <w:sz w:val="24"/>
                <w:highlight w:val="none"/>
                <w:lang w:val="en-US" w:eastAsia="zh-CN" w:bidi="ar-SA"/>
              </w:rPr>
            </w:pPr>
            <w:r>
              <w:rPr>
                <w:rStyle w:val="5"/>
                <w:rFonts w:ascii="宋体" w:hAnsi="宋体" w:eastAsia="宋体" w:cs="宋体"/>
                <w:b/>
                <w:bCs/>
                <w:i w:val="0"/>
                <w:caps w:val="0"/>
                <w:color w:val="auto"/>
                <w:spacing w:val="0"/>
                <w:w w:val="100"/>
                <w:sz w:val="24"/>
                <w:highlight w:val="none"/>
                <w:lang w:val="en-US" w:eastAsia="zh-CN" w:bidi="ar-SA"/>
              </w:rPr>
              <w:t>总价</w:t>
            </w:r>
          </w:p>
          <w:p w14:paraId="2C0EFBAE">
            <w:pPr>
              <w:snapToGrid/>
              <w:spacing w:before="0" w:beforeAutospacing="0" w:after="0" w:afterAutospacing="0" w:line="360" w:lineRule="auto"/>
              <w:jc w:val="center"/>
              <w:textAlignment w:val="baseline"/>
              <w:rPr>
                <w:rStyle w:val="5"/>
                <w:rFonts w:ascii="宋体" w:hAnsi="宋体" w:eastAsia="宋体" w:cs="宋体"/>
                <w:b/>
                <w:bCs/>
                <w:i w:val="0"/>
                <w:caps w:val="0"/>
                <w:color w:val="auto"/>
                <w:spacing w:val="0"/>
                <w:w w:val="100"/>
                <w:sz w:val="24"/>
                <w:highlight w:val="none"/>
                <w:lang w:val="en-US" w:eastAsia="zh-CN" w:bidi="ar-SA"/>
              </w:rPr>
            </w:pPr>
            <w:r>
              <w:rPr>
                <w:rStyle w:val="5"/>
                <w:rFonts w:ascii="宋体" w:hAnsi="宋体" w:eastAsia="宋体" w:cs="宋体"/>
                <w:b/>
                <w:bCs/>
                <w:i w:val="0"/>
                <w:caps w:val="0"/>
                <w:color w:val="auto"/>
                <w:spacing w:val="0"/>
                <w:w w:val="100"/>
                <w:sz w:val="24"/>
                <w:highlight w:val="none"/>
                <w:lang w:val="en-US" w:eastAsia="zh-CN" w:bidi="ar-SA"/>
              </w:rPr>
              <w:t>（元）</w:t>
            </w:r>
          </w:p>
        </w:tc>
      </w:tr>
      <w:tr w14:paraId="60D68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jc w:val="center"/>
        </w:trPr>
        <w:tc>
          <w:tcPr>
            <w:tcW w:w="798" w:type="dxa"/>
            <w:tcBorders>
              <w:top w:val="single" w:color="000000" w:sz="6" w:space="0"/>
              <w:left w:val="single" w:color="000000" w:sz="4" w:space="0"/>
              <w:bottom w:val="single" w:color="000000" w:sz="4" w:space="0"/>
            </w:tcBorders>
            <w:vAlign w:val="center"/>
          </w:tcPr>
          <w:p w14:paraId="463D3329">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1</w:t>
            </w:r>
          </w:p>
        </w:tc>
        <w:tc>
          <w:tcPr>
            <w:tcW w:w="800" w:type="dxa"/>
            <w:tcBorders>
              <w:top w:val="single" w:color="000000" w:sz="6" w:space="0"/>
              <w:left w:val="single" w:color="000000" w:sz="6" w:space="0"/>
              <w:bottom w:val="single" w:color="000000" w:sz="4" w:space="0"/>
              <w:right w:val="single" w:color="000000" w:sz="6" w:space="0"/>
            </w:tcBorders>
            <w:vAlign w:val="center"/>
          </w:tcPr>
          <w:p w14:paraId="25E3E663">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6" w:space="0"/>
              <w:left w:val="single" w:color="000000" w:sz="6" w:space="0"/>
              <w:bottom w:val="single" w:color="000000" w:sz="4" w:space="0"/>
              <w:right w:val="single" w:color="000000" w:sz="6" w:space="0"/>
            </w:tcBorders>
            <w:vAlign w:val="center"/>
          </w:tcPr>
          <w:p w14:paraId="6E350A22">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6" w:space="0"/>
              <w:left w:val="single" w:color="000000" w:sz="6" w:space="0"/>
              <w:bottom w:val="single" w:color="000000" w:sz="4" w:space="0"/>
              <w:right w:val="single" w:color="000000" w:sz="6" w:space="0"/>
            </w:tcBorders>
            <w:vAlign w:val="center"/>
          </w:tcPr>
          <w:p w14:paraId="4A567469">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6" w:space="0"/>
              <w:left w:val="single" w:color="000000" w:sz="6" w:space="0"/>
              <w:bottom w:val="single" w:color="000000" w:sz="4" w:space="0"/>
              <w:right w:val="single" w:color="000000" w:sz="6" w:space="0"/>
            </w:tcBorders>
            <w:vAlign w:val="center"/>
          </w:tcPr>
          <w:p w14:paraId="1F80B026">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6" w:space="0"/>
              <w:left w:val="single" w:color="000000" w:sz="6" w:space="0"/>
              <w:bottom w:val="single" w:color="000000" w:sz="4" w:space="0"/>
              <w:right w:val="single" w:color="000000" w:sz="6" w:space="0"/>
            </w:tcBorders>
            <w:vAlign w:val="center"/>
          </w:tcPr>
          <w:p w14:paraId="70A87696">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6" w:space="0"/>
              <w:left w:val="single" w:color="000000" w:sz="6" w:space="0"/>
              <w:bottom w:val="single" w:color="000000" w:sz="4" w:space="0"/>
              <w:right w:val="single" w:color="000000" w:sz="6" w:space="0"/>
            </w:tcBorders>
            <w:vAlign w:val="center"/>
          </w:tcPr>
          <w:p w14:paraId="5E0C7981">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0FF89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3" w:hRule="atLeast"/>
          <w:jc w:val="center"/>
        </w:trPr>
        <w:tc>
          <w:tcPr>
            <w:tcW w:w="798" w:type="dxa"/>
            <w:tcBorders>
              <w:top w:val="single" w:color="000000" w:sz="4" w:space="0"/>
              <w:left w:val="single" w:color="000000" w:sz="4" w:space="0"/>
              <w:bottom w:val="single" w:color="000000" w:sz="6" w:space="0"/>
            </w:tcBorders>
            <w:vAlign w:val="center"/>
          </w:tcPr>
          <w:p w14:paraId="5327C17D">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2</w:t>
            </w:r>
          </w:p>
        </w:tc>
        <w:tc>
          <w:tcPr>
            <w:tcW w:w="800" w:type="dxa"/>
            <w:tcBorders>
              <w:top w:val="single" w:color="000000" w:sz="4" w:space="0"/>
              <w:left w:val="single" w:color="000000" w:sz="6" w:space="0"/>
              <w:bottom w:val="single" w:color="000000" w:sz="6" w:space="0"/>
              <w:right w:val="single" w:color="000000" w:sz="6" w:space="0"/>
            </w:tcBorders>
            <w:vAlign w:val="center"/>
          </w:tcPr>
          <w:p w14:paraId="48E85569">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3D5F5608">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78AC4385">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3F68C380">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36A5C8F1">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7A63A35B">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1DB7E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8" w:type="dxa"/>
            <w:tcBorders>
              <w:top w:val="single" w:color="000000" w:sz="4" w:space="0"/>
              <w:left w:val="single" w:color="000000" w:sz="4" w:space="0"/>
              <w:bottom w:val="single" w:color="000000" w:sz="6" w:space="0"/>
            </w:tcBorders>
            <w:vAlign w:val="center"/>
          </w:tcPr>
          <w:p w14:paraId="61BBEAC1">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3</w:t>
            </w:r>
          </w:p>
        </w:tc>
        <w:tc>
          <w:tcPr>
            <w:tcW w:w="800" w:type="dxa"/>
            <w:tcBorders>
              <w:top w:val="single" w:color="000000" w:sz="4" w:space="0"/>
              <w:left w:val="single" w:color="000000" w:sz="6" w:space="0"/>
              <w:bottom w:val="single" w:color="000000" w:sz="6" w:space="0"/>
              <w:right w:val="single" w:color="000000" w:sz="6" w:space="0"/>
            </w:tcBorders>
            <w:vAlign w:val="center"/>
          </w:tcPr>
          <w:p w14:paraId="59D22BFD">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6EEAF805">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121D0FE6">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78EE6B3C">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1B82FF2B">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083131ED">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76C37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8" w:type="dxa"/>
            <w:tcBorders>
              <w:top w:val="single" w:color="000000" w:sz="4" w:space="0"/>
              <w:left w:val="single" w:color="000000" w:sz="4" w:space="0"/>
              <w:bottom w:val="single" w:color="000000" w:sz="6" w:space="0"/>
            </w:tcBorders>
            <w:vAlign w:val="center"/>
          </w:tcPr>
          <w:p w14:paraId="336379F4">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4</w:t>
            </w:r>
          </w:p>
        </w:tc>
        <w:tc>
          <w:tcPr>
            <w:tcW w:w="800" w:type="dxa"/>
            <w:tcBorders>
              <w:top w:val="single" w:color="000000" w:sz="4" w:space="0"/>
              <w:left w:val="single" w:color="000000" w:sz="6" w:space="0"/>
              <w:bottom w:val="single" w:color="000000" w:sz="6" w:space="0"/>
              <w:right w:val="single" w:color="000000" w:sz="6" w:space="0"/>
            </w:tcBorders>
            <w:vAlign w:val="center"/>
          </w:tcPr>
          <w:p w14:paraId="295A1B83">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4B897957">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0F1F9243">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335EFEE3">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3D474B61">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0539897B">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5AFB3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8" w:type="dxa"/>
            <w:tcBorders>
              <w:top w:val="single" w:color="000000" w:sz="4" w:space="0"/>
              <w:left w:val="single" w:color="000000" w:sz="4" w:space="0"/>
              <w:bottom w:val="single" w:color="000000" w:sz="6" w:space="0"/>
            </w:tcBorders>
            <w:vAlign w:val="center"/>
          </w:tcPr>
          <w:p w14:paraId="48C3484B">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5</w:t>
            </w:r>
          </w:p>
        </w:tc>
        <w:tc>
          <w:tcPr>
            <w:tcW w:w="800" w:type="dxa"/>
            <w:tcBorders>
              <w:top w:val="single" w:color="000000" w:sz="4" w:space="0"/>
              <w:left w:val="single" w:color="000000" w:sz="6" w:space="0"/>
              <w:bottom w:val="single" w:color="000000" w:sz="6" w:space="0"/>
              <w:right w:val="single" w:color="000000" w:sz="6" w:space="0"/>
            </w:tcBorders>
            <w:vAlign w:val="center"/>
          </w:tcPr>
          <w:p w14:paraId="02A9F45A">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08F2E523">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6E5C45FC">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40586221">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2682D756">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1D16FAED">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07EC0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8" w:type="dxa"/>
            <w:tcBorders>
              <w:top w:val="single" w:color="000000" w:sz="4" w:space="0"/>
              <w:left w:val="single" w:color="000000" w:sz="4" w:space="0"/>
              <w:bottom w:val="single" w:color="000000" w:sz="6" w:space="0"/>
            </w:tcBorders>
            <w:vAlign w:val="center"/>
          </w:tcPr>
          <w:p w14:paraId="6494DD29">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highlight w:val="none"/>
                <w:lang w:val="en-US" w:eastAsia="zh-CN" w:bidi="ar-SA"/>
              </w:rPr>
              <w:t>...</w:t>
            </w:r>
          </w:p>
        </w:tc>
        <w:tc>
          <w:tcPr>
            <w:tcW w:w="800" w:type="dxa"/>
            <w:tcBorders>
              <w:top w:val="single" w:color="000000" w:sz="4" w:space="0"/>
              <w:left w:val="single" w:color="000000" w:sz="6" w:space="0"/>
              <w:bottom w:val="single" w:color="000000" w:sz="6" w:space="0"/>
              <w:right w:val="single" w:color="000000" w:sz="6" w:space="0"/>
            </w:tcBorders>
            <w:vAlign w:val="center"/>
          </w:tcPr>
          <w:p w14:paraId="1D2FB75A">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288" w:type="dxa"/>
            <w:tcBorders>
              <w:top w:val="single" w:color="000000" w:sz="4" w:space="0"/>
              <w:left w:val="single" w:color="000000" w:sz="6" w:space="0"/>
              <w:bottom w:val="single" w:color="000000" w:sz="6" w:space="0"/>
              <w:right w:val="single" w:color="000000" w:sz="6" w:space="0"/>
            </w:tcBorders>
            <w:vAlign w:val="center"/>
          </w:tcPr>
          <w:p w14:paraId="3BC536A4">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578" w:type="dxa"/>
            <w:tcBorders>
              <w:top w:val="single" w:color="000000" w:sz="4" w:space="0"/>
              <w:left w:val="single" w:color="000000" w:sz="6" w:space="0"/>
              <w:bottom w:val="single" w:color="000000" w:sz="6" w:space="0"/>
              <w:right w:val="single" w:color="000000" w:sz="6" w:space="0"/>
            </w:tcBorders>
            <w:vAlign w:val="center"/>
          </w:tcPr>
          <w:p w14:paraId="65DE78DA">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692CC706">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67" w:type="dxa"/>
            <w:tcBorders>
              <w:top w:val="single" w:color="000000" w:sz="4" w:space="0"/>
              <w:left w:val="single" w:color="000000" w:sz="6" w:space="0"/>
              <w:bottom w:val="single" w:color="000000" w:sz="6" w:space="0"/>
              <w:right w:val="single" w:color="000000" w:sz="6" w:space="0"/>
            </w:tcBorders>
            <w:vAlign w:val="center"/>
          </w:tcPr>
          <w:p w14:paraId="6DA4361A">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c>
          <w:tcPr>
            <w:tcW w:w="1171" w:type="dxa"/>
            <w:tcBorders>
              <w:top w:val="single" w:color="000000" w:sz="4" w:space="0"/>
              <w:left w:val="single" w:color="000000" w:sz="6" w:space="0"/>
              <w:bottom w:val="single" w:color="000000" w:sz="6" w:space="0"/>
              <w:right w:val="single" w:color="000000" w:sz="6" w:space="0"/>
            </w:tcBorders>
            <w:vAlign w:val="center"/>
          </w:tcPr>
          <w:p w14:paraId="441B5FA8">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p>
        </w:tc>
      </w:tr>
      <w:tr w14:paraId="4878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73" w:type="dxa"/>
            <w:gridSpan w:val="7"/>
            <w:tcBorders>
              <w:top w:val="single" w:color="000000" w:sz="4" w:space="0"/>
              <w:left w:val="single" w:color="000000" w:sz="6" w:space="0"/>
              <w:bottom w:val="single" w:color="000000" w:sz="6" w:space="0"/>
              <w:right w:val="single" w:color="000000" w:sz="6" w:space="0"/>
            </w:tcBorders>
            <w:vAlign w:val="center"/>
          </w:tcPr>
          <w:p w14:paraId="797E333C">
            <w:pPr>
              <w:snapToGrid/>
              <w:spacing w:before="0" w:beforeAutospacing="0" w:after="0" w:afterAutospacing="0" w:line="360" w:lineRule="auto"/>
              <w:jc w:val="center"/>
              <w:textAlignment w:val="baseline"/>
              <w:rPr>
                <w:rStyle w:val="5"/>
                <w:rFonts w:ascii="宋体" w:hAnsi="宋体" w:eastAsia="宋体"/>
                <w:b w:val="0"/>
                <w:i w:val="0"/>
                <w:caps w:val="0"/>
                <w:color w:val="auto"/>
                <w:spacing w:val="0"/>
                <w:w w:val="100"/>
                <w:sz w:val="24"/>
                <w:highlight w:val="none"/>
                <w:lang w:val="en-US" w:eastAsia="zh-CN" w:bidi="ar-SA"/>
              </w:rPr>
            </w:pPr>
            <w:r>
              <w:rPr>
                <w:rStyle w:val="5"/>
                <w:rFonts w:ascii="宋体" w:hAnsi="宋体" w:eastAsia="宋体"/>
                <w:b w:val="0"/>
                <w:i w:val="0"/>
                <w:caps w:val="0"/>
                <w:color w:val="auto"/>
                <w:spacing w:val="0"/>
                <w:w w:val="100"/>
                <w:sz w:val="24"/>
                <w:szCs w:val="24"/>
                <w:highlight w:val="none"/>
                <w:lang w:val="en-US" w:eastAsia="zh-CN" w:bidi="ar-SA"/>
              </w:rPr>
              <w:t>……</w:t>
            </w:r>
          </w:p>
        </w:tc>
      </w:tr>
      <w:tr w14:paraId="0E689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73" w:type="dxa"/>
            <w:gridSpan w:val="7"/>
            <w:tcBorders>
              <w:top w:val="single" w:color="000000" w:sz="4" w:space="0"/>
              <w:left w:val="single" w:color="000000" w:sz="6" w:space="0"/>
              <w:bottom w:val="single" w:color="000000" w:sz="6" w:space="0"/>
              <w:right w:val="single" w:color="000000" w:sz="6" w:space="0"/>
            </w:tcBorders>
            <w:vAlign w:val="center"/>
          </w:tcPr>
          <w:p w14:paraId="1FFEA2BD">
            <w:pPr>
              <w:snapToGrid/>
              <w:spacing w:before="0" w:beforeAutospacing="0" w:after="0" w:afterAutospacing="0" w:line="360" w:lineRule="auto"/>
              <w:jc w:val="both"/>
              <w:textAlignment w:val="baseline"/>
              <w:rPr>
                <w:rStyle w:val="5"/>
                <w:rFonts w:ascii="宋体" w:hAnsi="宋体" w:eastAsia="宋体"/>
                <w:b w:val="0"/>
                <w:i w:val="0"/>
                <w:caps w:val="0"/>
                <w:color w:val="auto"/>
                <w:spacing w:val="0"/>
                <w:w w:val="100"/>
                <w:sz w:val="24"/>
                <w:szCs w:val="24"/>
                <w:highlight w:val="none"/>
                <w:lang w:val="en-US" w:eastAsia="zh-CN" w:bidi="ar-SA"/>
              </w:rPr>
            </w:pPr>
            <w:r>
              <w:rPr>
                <w:rStyle w:val="5"/>
                <w:rFonts w:ascii="宋体" w:hAnsi="宋体" w:eastAsia="宋体"/>
                <w:b w:val="0"/>
                <w:i w:val="0"/>
                <w:caps w:val="0"/>
                <w:color w:val="auto"/>
                <w:spacing w:val="0"/>
                <w:w w:val="100"/>
                <w:sz w:val="24"/>
                <w:szCs w:val="24"/>
                <w:highlight w:val="none"/>
                <w:lang w:val="en-US" w:eastAsia="zh-CN" w:bidi="ar-SA"/>
              </w:rPr>
              <w:t>大写：                           小写：</w:t>
            </w:r>
          </w:p>
        </w:tc>
      </w:tr>
      <w:tr w14:paraId="1E52E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7973" w:type="dxa"/>
            <w:gridSpan w:val="7"/>
            <w:tcBorders>
              <w:top w:val="single" w:color="000000" w:sz="4" w:space="0"/>
              <w:left w:val="single" w:color="000000" w:sz="6" w:space="0"/>
              <w:bottom w:val="single" w:color="000000" w:sz="6" w:space="0"/>
              <w:right w:val="single" w:color="000000" w:sz="6" w:space="0"/>
            </w:tcBorders>
            <w:vAlign w:val="center"/>
          </w:tcPr>
          <w:p w14:paraId="6C7825B4">
            <w:pPr>
              <w:snapToGrid/>
              <w:spacing w:before="0" w:beforeAutospacing="0" w:after="0" w:afterAutospacing="0" w:line="360" w:lineRule="auto"/>
              <w:jc w:val="both"/>
              <w:textAlignment w:val="baseline"/>
              <w:rPr>
                <w:rStyle w:val="5"/>
                <w:rFonts w:ascii="宋体" w:hAnsi="宋体" w:eastAsia="宋体"/>
                <w:b w:val="0"/>
                <w:i w:val="0"/>
                <w:caps w:val="0"/>
                <w:color w:val="auto"/>
                <w:spacing w:val="0"/>
                <w:w w:val="100"/>
                <w:sz w:val="24"/>
                <w:szCs w:val="24"/>
                <w:highlight w:val="none"/>
                <w:lang w:val="en-US" w:eastAsia="zh-CN" w:bidi="ar-SA"/>
              </w:rPr>
            </w:pPr>
            <w:r>
              <w:rPr>
                <w:rStyle w:val="5"/>
                <w:rFonts w:ascii="宋体" w:hAnsi="宋体" w:eastAsia="宋体"/>
                <w:b w:val="0"/>
                <w:i w:val="0"/>
                <w:caps w:val="0"/>
                <w:color w:val="auto"/>
                <w:spacing w:val="-6"/>
                <w:w w:val="100"/>
                <w:sz w:val="24"/>
                <w:szCs w:val="24"/>
                <w:highlight w:val="none"/>
                <w:lang w:val="en-US" w:eastAsia="zh-CN" w:bidi="ar-SA"/>
              </w:rPr>
              <w:t>保留小数点后两位。</w:t>
            </w:r>
          </w:p>
        </w:tc>
      </w:tr>
    </w:tbl>
    <w:p w14:paraId="41017E54">
      <w:pPr>
        <w:pStyle w:val="2"/>
        <w:rPr>
          <w:rFonts w:hint="eastAsia"/>
        </w:rPr>
      </w:pPr>
    </w:p>
    <w:p w14:paraId="6CEE7184">
      <w:pPr>
        <w:spacing w:line="360" w:lineRule="auto"/>
        <w:jc w:val="left"/>
        <w:rPr>
          <w:rFonts w:hint="eastAsia" w:ascii="宋体" w:hAnsi="宋体"/>
          <w:b/>
          <w:sz w:val="24"/>
        </w:rPr>
      </w:pPr>
      <w:r>
        <w:rPr>
          <w:rFonts w:hint="eastAsia" w:ascii="宋体" w:hAnsi="宋体"/>
          <w:b/>
          <w:sz w:val="24"/>
        </w:rPr>
        <w:t>二、合同价格</w:t>
      </w:r>
    </w:p>
    <w:p w14:paraId="33DF2E38">
      <w:pPr>
        <w:spacing w:line="360" w:lineRule="auto"/>
        <w:ind w:left="48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64107727">
      <w:pPr>
        <w:spacing w:line="360" w:lineRule="auto"/>
        <w:jc w:val="left"/>
        <w:rPr>
          <w:rFonts w:hint="eastAsia" w:ascii="宋体" w:hAnsi="宋体"/>
          <w:sz w:val="24"/>
        </w:rPr>
      </w:pPr>
      <w:r>
        <w:rPr>
          <w:rFonts w:hint="eastAsia" w:ascii="宋体" w:hAnsi="宋体"/>
          <w:sz w:val="24"/>
        </w:rPr>
        <w:t>说明：</w:t>
      </w:r>
    </w:p>
    <w:p w14:paraId="12BCFF39">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2118698B">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2099EF52">
      <w:pPr>
        <w:numPr>
          <w:ilvl w:val="0"/>
          <w:numId w:val="2"/>
        </w:numPr>
        <w:spacing w:line="360" w:lineRule="auto"/>
        <w:jc w:val="left"/>
        <w:rPr>
          <w:rFonts w:hint="eastAsia" w:ascii="宋体" w:hAnsi="宋体"/>
          <w:b/>
          <w:sz w:val="24"/>
        </w:rPr>
      </w:pPr>
      <w:r>
        <w:rPr>
          <w:rFonts w:hint="eastAsia" w:ascii="宋体" w:hAnsi="宋体"/>
          <w:b/>
          <w:sz w:val="24"/>
        </w:rPr>
        <w:t>合同款项支付</w:t>
      </w:r>
    </w:p>
    <w:p w14:paraId="4A698706">
      <w:pPr>
        <w:numPr>
          <w:ilvl w:val="0"/>
          <w:numId w:val="0"/>
        </w:numPr>
        <w:spacing w:line="360" w:lineRule="auto"/>
        <w:jc w:val="left"/>
        <w:rPr>
          <w:rFonts w:hint="default" w:ascii="宋体" w:hAnsi="宋体" w:eastAsia="宋体"/>
          <w:b w:val="0"/>
          <w:bCs/>
          <w:sz w:val="24"/>
          <w:lang w:val="en-US" w:eastAsia="zh-CN"/>
        </w:rPr>
      </w:pPr>
      <w:r>
        <w:rPr>
          <w:rFonts w:hint="eastAsia" w:hAnsi="宋体"/>
          <w:b/>
          <w:sz w:val="24"/>
          <w:lang w:val="en-US" w:eastAsia="zh-CN"/>
        </w:rPr>
        <w:t xml:space="preserve">   </w:t>
      </w:r>
      <w:r>
        <w:rPr>
          <w:rFonts w:hint="eastAsia" w:hAnsi="宋体"/>
          <w:b w:val="0"/>
          <w:bCs/>
          <w:sz w:val="24"/>
          <w:lang w:val="en-US" w:eastAsia="zh-CN"/>
        </w:rPr>
        <w:t xml:space="preserve"> 全部货物送达采购人指定地点并验收合格后支付合同总价款的100％。</w:t>
      </w:r>
    </w:p>
    <w:p w14:paraId="147569B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baseline"/>
        <w:rPr>
          <w:rFonts w:hint="eastAsia" w:ascii="宋体" w:hAnsi="宋体" w:eastAsia="宋体"/>
          <w:b w:val="0"/>
          <w:bCs/>
          <w:sz w:val="24"/>
          <w:highlight w:val="none"/>
          <w:lang w:eastAsia="zh-CN"/>
        </w:rPr>
      </w:pPr>
      <w:r>
        <w:rPr>
          <w:rFonts w:hint="eastAsia" w:ascii="宋体" w:hAnsi="宋体"/>
          <w:b w:val="0"/>
          <w:bCs/>
          <w:sz w:val="24"/>
          <w:highlight w:val="none"/>
        </w:rPr>
        <w:t>支付方式：银行转帐</w:t>
      </w:r>
      <w:r>
        <w:rPr>
          <w:rFonts w:hint="eastAsia" w:hAnsi="宋体"/>
          <w:b w:val="0"/>
          <w:bCs/>
          <w:sz w:val="24"/>
          <w:highlight w:val="none"/>
          <w:lang w:eastAsia="zh-CN"/>
        </w:rPr>
        <w:t>。</w:t>
      </w:r>
    </w:p>
    <w:p w14:paraId="7E2358E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baseline"/>
        <w:rPr>
          <w:rFonts w:hint="default" w:ascii="宋体" w:hAnsi="宋体" w:eastAsia="宋体"/>
          <w:b w:val="0"/>
          <w:bCs/>
          <w:sz w:val="24"/>
          <w:highlight w:val="none"/>
          <w:lang w:val="en-US" w:eastAsia="zh-CN"/>
        </w:rPr>
      </w:pPr>
      <w:r>
        <w:rPr>
          <w:rFonts w:hint="eastAsia" w:hAnsi="宋体"/>
          <w:b w:val="0"/>
          <w:bCs/>
          <w:sz w:val="24"/>
          <w:highlight w:val="none"/>
          <w:lang w:val="en-US" w:eastAsia="zh-CN"/>
        </w:rPr>
        <w:t>结算要求：必须在验收合格后，一次性开具合同全款发票。</w:t>
      </w:r>
    </w:p>
    <w:p w14:paraId="37E055DA">
      <w:pPr>
        <w:spacing w:line="360" w:lineRule="auto"/>
        <w:jc w:val="left"/>
        <w:rPr>
          <w:rFonts w:hint="default" w:ascii="宋体" w:hAnsi="宋体" w:eastAsia="宋体"/>
          <w:b/>
          <w:sz w:val="24"/>
          <w:lang w:val="en-US" w:eastAsia="zh-CN"/>
        </w:rPr>
      </w:pPr>
      <w:r>
        <w:rPr>
          <w:rFonts w:hint="eastAsia" w:ascii="宋体" w:hAnsi="宋体"/>
          <w:b/>
          <w:sz w:val="24"/>
        </w:rPr>
        <w:t>四、</w:t>
      </w:r>
      <w:r>
        <w:rPr>
          <w:rFonts w:hint="eastAsia" w:ascii="宋体" w:hAnsi="宋体"/>
          <w:b/>
          <w:sz w:val="24"/>
          <w:lang w:val="en-US" w:eastAsia="zh-CN"/>
        </w:rPr>
        <w:t>安装及验收要求</w:t>
      </w:r>
    </w:p>
    <w:p w14:paraId="77D4E439">
      <w:pPr>
        <w:spacing w:line="360" w:lineRule="auto"/>
        <w:ind w:firstLine="480" w:firstLineChars="200"/>
        <w:jc w:val="left"/>
        <w:rPr>
          <w:rFonts w:hint="eastAsia" w:ascii="宋体" w:hAnsi="宋体"/>
          <w:sz w:val="24"/>
        </w:rPr>
      </w:pPr>
      <w:r>
        <w:rPr>
          <w:rFonts w:hint="eastAsia" w:hAnsi="宋体"/>
          <w:sz w:val="24"/>
          <w:lang w:val="en-US" w:eastAsia="zh-CN"/>
        </w:rPr>
        <w:t>交</w:t>
      </w:r>
      <w:r>
        <w:rPr>
          <w:rFonts w:hint="eastAsia" w:ascii="宋体" w:hAnsi="宋体"/>
          <w:sz w:val="24"/>
        </w:rPr>
        <w:t>货期：中标即日起</w:t>
      </w:r>
      <w:r>
        <w:rPr>
          <w:rFonts w:hint="eastAsia" w:hAnsi="宋体"/>
          <w:sz w:val="24"/>
          <w:u w:val="single"/>
          <w:lang w:val="en-US" w:eastAsia="zh-CN"/>
        </w:rPr>
        <w:t xml:space="preserve">     </w:t>
      </w:r>
      <w:r>
        <w:rPr>
          <w:rFonts w:hint="eastAsia" w:ascii="宋体" w:hAnsi="宋体"/>
          <w:sz w:val="24"/>
        </w:rPr>
        <w:t xml:space="preserve">个工作日。 </w:t>
      </w:r>
    </w:p>
    <w:p w14:paraId="38FA471E">
      <w:pPr>
        <w:spacing w:line="360" w:lineRule="auto"/>
        <w:ind w:firstLine="480" w:firstLineChars="200"/>
        <w:jc w:val="left"/>
        <w:rPr>
          <w:rFonts w:hint="default" w:ascii="宋体" w:hAnsi="宋体" w:eastAsia="宋体"/>
          <w:sz w:val="24"/>
          <w:lang w:val="en-US" w:eastAsia="zh-CN"/>
        </w:rPr>
      </w:pPr>
      <w:r>
        <w:rPr>
          <w:rFonts w:hint="eastAsia" w:ascii="宋体" w:hAnsi="宋体"/>
          <w:sz w:val="24"/>
        </w:rPr>
        <w:t>安装地点：</w:t>
      </w:r>
      <w:r>
        <w:rPr>
          <w:rFonts w:hint="eastAsia" w:hAnsi="宋体"/>
          <w:sz w:val="24"/>
          <w:lang w:val="en-US" w:eastAsia="zh-CN"/>
        </w:rPr>
        <w:t>采购人指定交货地点。</w:t>
      </w:r>
    </w:p>
    <w:p w14:paraId="1FDF459E">
      <w:pPr>
        <w:spacing w:line="360" w:lineRule="auto"/>
        <w:ind w:firstLine="480" w:firstLineChars="200"/>
        <w:jc w:val="left"/>
        <w:rPr>
          <w:rFonts w:hint="eastAsia" w:ascii="宋体" w:hAnsi="宋体" w:eastAsia="宋体"/>
          <w:sz w:val="24"/>
          <w:lang w:eastAsia="zh-CN"/>
        </w:rPr>
      </w:pPr>
      <w:r>
        <w:rPr>
          <w:rFonts w:hint="eastAsia" w:ascii="宋体" w:hAnsi="宋体"/>
          <w:sz w:val="24"/>
        </w:rPr>
        <w:t>安装标准：符合国家有关安全技术标准</w:t>
      </w:r>
      <w:r>
        <w:rPr>
          <w:rFonts w:hint="eastAsia" w:hAnsi="宋体"/>
          <w:sz w:val="24"/>
          <w:lang w:eastAsia="zh-CN"/>
        </w:rPr>
        <w:t>。</w:t>
      </w:r>
    </w:p>
    <w:p w14:paraId="3B989C74">
      <w:pPr>
        <w:spacing w:line="360" w:lineRule="auto"/>
        <w:ind w:firstLine="480" w:firstLineChars="200"/>
        <w:jc w:val="left"/>
        <w:rPr>
          <w:rFonts w:hint="eastAsia" w:ascii="宋体" w:hAnsi="宋体"/>
          <w:sz w:val="24"/>
        </w:rPr>
      </w:pPr>
      <w:r>
        <w:rPr>
          <w:rFonts w:hint="eastAsia" w:ascii="宋体" w:hAnsi="宋体"/>
          <w:sz w:val="24"/>
        </w:rPr>
        <w:t>验收标准及费用：（1）符合招标单位与中标单位签订的经济合同；（2）符合招投标文件的技术要求、商务要求；（3）符合产品原样本技术数据；（4）符合国家有关技术规范和标准（5）提供有效的计量检定合格证；（6）设备安装调试完毕后需进行性能验证，各项结果应符合要求；（7）如为进口产品，交货前须提供原产地证明和海关商检手续等资料。所有安装、验收的手续及费用由投标单位自行办理和承担，招标单位提供相关辅助</w:t>
      </w:r>
    </w:p>
    <w:p w14:paraId="29EB5AFC">
      <w:pPr>
        <w:spacing w:line="360" w:lineRule="auto"/>
        <w:jc w:val="left"/>
        <w:rPr>
          <w:rFonts w:hint="eastAsia" w:ascii="宋体" w:hAnsi="宋体"/>
          <w:b/>
          <w:sz w:val="24"/>
        </w:rPr>
      </w:pPr>
      <w:r>
        <w:rPr>
          <w:rFonts w:hint="eastAsia" w:ascii="宋体" w:hAnsi="宋体"/>
          <w:b/>
          <w:sz w:val="24"/>
        </w:rPr>
        <w:t>五、包装运输</w:t>
      </w:r>
    </w:p>
    <w:p w14:paraId="4E9D0D50">
      <w:pPr>
        <w:spacing w:line="360" w:lineRule="auto"/>
        <w:ind w:firstLine="480" w:firstLineChars="200"/>
        <w:jc w:val="left"/>
        <w:rPr>
          <w:rFonts w:hint="eastAsia" w:ascii="宋体" w:hAnsi="宋体" w:eastAsia="宋体"/>
          <w:sz w:val="24"/>
          <w:lang w:eastAsia="zh-CN"/>
        </w:rPr>
      </w:pPr>
      <w:r>
        <w:rPr>
          <w:rFonts w:hint="eastAsia" w:ascii="宋体" w:hAnsi="宋体"/>
          <w:sz w:val="24"/>
        </w:rPr>
        <w:t>符合出厂规范、包装完整无破损、满足长途运输要求</w:t>
      </w:r>
      <w:r>
        <w:rPr>
          <w:rFonts w:hint="eastAsia" w:hAnsi="宋体"/>
          <w:sz w:val="24"/>
          <w:lang w:eastAsia="zh-CN"/>
        </w:rPr>
        <w:t>。</w:t>
      </w:r>
    </w:p>
    <w:p w14:paraId="5A77C59A">
      <w:pPr>
        <w:spacing w:line="360" w:lineRule="auto"/>
        <w:ind w:firstLine="480" w:firstLineChars="200"/>
        <w:jc w:val="left"/>
        <w:rPr>
          <w:rFonts w:hint="eastAsia" w:ascii="宋体" w:hAnsi="宋体" w:eastAsia="宋体"/>
          <w:sz w:val="24"/>
          <w:lang w:eastAsia="zh-CN"/>
        </w:rPr>
      </w:pPr>
      <w:r>
        <w:rPr>
          <w:rFonts w:hint="eastAsia" w:ascii="宋体" w:hAnsi="宋体"/>
          <w:sz w:val="24"/>
        </w:rPr>
        <w:t>防雨、防潮、各种符号、标识清楚，进口设备应具有原产国标识且标识清楚</w:t>
      </w:r>
      <w:r>
        <w:rPr>
          <w:rFonts w:hint="eastAsia" w:hAnsi="宋体"/>
          <w:sz w:val="24"/>
          <w:lang w:eastAsia="zh-CN"/>
        </w:rPr>
        <w:t>。</w:t>
      </w:r>
    </w:p>
    <w:p w14:paraId="15798FF3">
      <w:pPr>
        <w:spacing w:line="360" w:lineRule="auto"/>
        <w:ind w:firstLine="480" w:firstLineChars="200"/>
        <w:jc w:val="left"/>
        <w:rPr>
          <w:rFonts w:hint="eastAsia" w:ascii="宋体" w:hAnsi="宋体" w:eastAsia="宋体"/>
          <w:sz w:val="24"/>
          <w:lang w:eastAsia="zh-CN"/>
        </w:rPr>
      </w:pPr>
      <w:r>
        <w:rPr>
          <w:rFonts w:hint="eastAsia" w:ascii="宋体" w:hAnsi="宋体"/>
          <w:sz w:val="24"/>
        </w:rPr>
        <w:t>必须为原装、全新产品，渠道合法</w:t>
      </w:r>
      <w:r>
        <w:rPr>
          <w:rFonts w:hint="eastAsia" w:hAnsi="宋体"/>
          <w:sz w:val="24"/>
          <w:lang w:eastAsia="zh-CN"/>
        </w:rPr>
        <w:t>。</w:t>
      </w:r>
    </w:p>
    <w:p w14:paraId="7D93FE91">
      <w:pPr>
        <w:spacing w:line="360" w:lineRule="auto"/>
        <w:jc w:val="left"/>
        <w:rPr>
          <w:rFonts w:hint="eastAsia" w:ascii="宋体" w:hAnsi="宋体"/>
          <w:b/>
          <w:sz w:val="24"/>
        </w:rPr>
      </w:pPr>
      <w:r>
        <w:rPr>
          <w:rFonts w:hint="eastAsia" w:ascii="宋体" w:hAnsi="宋体"/>
          <w:b/>
          <w:sz w:val="24"/>
        </w:rPr>
        <w:t>六、质量保证</w:t>
      </w:r>
    </w:p>
    <w:p w14:paraId="63C4A26D">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645D4E30">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06E9C1D9">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79C33F71">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7E08D3B4">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0B759C55">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3E38CD53">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4D4C83C6">
      <w:pPr>
        <w:spacing w:line="360" w:lineRule="auto"/>
        <w:jc w:val="left"/>
        <w:rPr>
          <w:rFonts w:hint="default"/>
          <w:lang w:val="en-US" w:eastAsia="zh-CN"/>
        </w:rPr>
      </w:pPr>
      <w:r>
        <w:rPr>
          <w:rFonts w:hint="eastAsia" w:ascii="宋体" w:hAnsi="宋体"/>
          <w:b/>
          <w:sz w:val="24"/>
          <w:lang w:val="en-US" w:eastAsia="zh-CN"/>
        </w:rPr>
        <w:t>七、售后服务</w:t>
      </w:r>
    </w:p>
    <w:p w14:paraId="06F65626">
      <w:pPr>
        <w:pStyle w:val="2"/>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baseline"/>
        <w:rPr>
          <w:rFonts w:hint="default"/>
          <w:lang w:val="en-US" w:eastAsia="zh-CN"/>
        </w:rPr>
      </w:pPr>
      <w:r>
        <w:rPr>
          <w:rFonts w:hint="default"/>
          <w:lang w:val="en-US" w:eastAsia="zh-CN"/>
        </w:rPr>
        <w:t>免费现场培训操作人员2-3人，保证用户工作人员可独立完成设备操作</w:t>
      </w:r>
      <w:r>
        <w:rPr>
          <w:rFonts w:hint="eastAsia"/>
          <w:lang w:val="en-US" w:eastAsia="zh-CN"/>
        </w:rPr>
        <w:t>。</w:t>
      </w:r>
    </w:p>
    <w:p w14:paraId="56DABA3D">
      <w:pPr>
        <w:pStyle w:val="2"/>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baseline"/>
        <w:rPr>
          <w:rFonts w:hint="default"/>
          <w:lang w:val="en-US" w:eastAsia="zh-CN"/>
        </w:rPr>
      </w:pPr>
      <w:r>
        <w:rPr>
          <w:rFonts w:hint="default"/>
          <w:lang w:val="en-US" w:eastAsia="zh-CN"/>
        </w:rPr>
        <w:t>在陕西设有售后服务站并设有该机专业工程师（提供地址和电话）</w:t>
      </w:r>
      <w:r>
        <w:rPr>
          <w:rFonts w:hint="eastAsia"/>
          <w:lang w:val="en-US" w:eastAsia="zh-CN"/>
        </w:rPr>
        <w:t>，</w:t>
      </w:r>
      <w:r>
        <w:rPr>
          <w:rFonts w:hint="default"/>
          <w:lang w:val="en-US" w:eastAsia="zh-CN"/>
        </w:rPr>
        <w:t>维修响应时间</w:t>
      </w:r>
      <w:r>
        <w:rPr>
          <w:rFonts w:hint="default"/>
          <w:u w:val="single"/>
          <w:lang w:val="en-US" w:eastAsia="zh-CN"/>
        </w:rPr>
        <w:t>4</w:t>
      </w:r>
      <w:r>
        <w:rPr>
          <w:rFonts w:hint="default"/>
          <w:lang w:val="en-US" w:eastAsia="zh-CN"/>
        </w:rPr>
        <w:t>小时</w:t>
      </w:r>
      <w:r>
        <w:rPr>
          <w:rFonts w:hint="eastAsia"/>
          <w:lang w:val="en-US" w:eastAsia="zh-CN"/>
        </w:rPr>
        <w:t>内</w:t>
      </w:r>
      <w:r>
        <w:rPr>
          <w:rFonts w:hint="default"/>
          <w:lang w:val="en-US" w:eastAsia="zh-CN"/>
        </w:rPr>
        <w:t>，</w:t>
      </w:r>
      <w:r>
        <w:rPr>
          <w:rFonts w:hint="default"/>
          <w:u w:val="single"/>
          <w:lang w:val="en-US" w:eastAsia="zh-CN"/>
        </w:rPr>
        <w:t>24</w:t>
      </w:r>
      <w:r>
        <w:rPr>
          <w:rFonts w:hint="default"/>
          <w:lang w:val="en-US" w:eastAsia="zh-CN"/>
        </w:rPr>
        <w:t>小时</w:t>
      </w:r>
      <w:r>
        <w:rPr>
          <w:rFonts w:hint="eastAsia"/>
          <w:lang w:val="en-US" w:eastAsia="zh-CN"/>
        </w:rPr>
        <w:t>内</w:t>
      </w:r>
      <w:r>
        <w:rPr>
          <w:rFonts w:hint="default"/>
          <w:lang w:val="en-US" w:eastAsia="zh-CN"/>
        </w:rPr>
        <w:t>到现场</w:t>
      </w:r>
      <w:r>
        <w:rPr>
          <w:rFonts w:hint="eastAsia"/>
          <w:lang w:val="en-US" w:eastAsia="zh-CN"/>
        </w:rPr>
        <w:t>。</w:t>
      </w:r>
    </w:p>
    <w:p w14:paraId="05F86845">
      <w:pPr>
        <w:spacing w:line="360" w:lineRule="auto"/>
        <w:jc w:val="left"/>
        <w:rPr>
          <w:rFonts w:hint="eastAsia" w:ascii="宋体" w:hAnsi="宋体"/>
          <w:b/>
          <w:sz w:val="24"/>
        </w:rPr>
      </w:pPr>
      <w:r>
        <w:rPr>
          <w:rFonts w:hint="eastAsia" w:ascii="宋体" w:hAnsi="宋体"/>
          <w:b/>
          <w:sz w:val="24"/>
          <w:lang w:val="en-US" w:eastAsia="zh-CN"/>
        </w:rPr>
        <w:t>八</w:t>
      </w:r>
      <w:r>
        <w:rPr>
          <w:rFonts w:hint="eastAsia" w:ascii="宋体" w:hAnsi="宋体"/>
          <w:b/>
          <w:sz w:val="24"/>
        </w:rPr>
        <w:t>、技术规格及标准。（详见附件）</w:t>
      </w:r>
    </w:p>
    <w:p w14:paraId="1A7241A3">
      <w:pPr>
        <w:spacing w:line="360" w:lineRule="auto"/>
        <w:jc w:val="left"/>
        <w:rPr>
          <w:rFonts w:hint="eastAsia" w:ascii="宋体" w:hAnsi="宋体"/>
          <w:b/>
          <w:sz w:val="24"/>
        </w:rPr>
      </w:pPr>
      <w:r>
        <w:rPr>
          <w:rFonts w:hint="eastAsia" w:hAnsi="宋体"/>
          <w:b/>
          <w:sz w:val="24"/>
          <w:lang w:val="en-US" w:eastAsia="zh-CN"/>
        </w:rPr>
        <w:t>九</w:t>
      </w:r>
      <w:r>
        <w:rPr>
          <w:rFonts w:hint="eastAsia" w:ascii="宋体" w:hAnsi="宋体"/>
          <w:b/>
          <w:sz w:val="24"/>
        </w:rPr>
        <w:t>、技术服务</w:t>
      </w:r>
    </w:p>
    <w:p w14:paraId="3AA8086C">
      <w:pPr>
        <w:spacing w:line="360" w:lineRule="auto"/>
        <w:ind w:firstLine="482" w:firstLineChars="200"/>
        <w:jc w:val="left"/>
        <w:rPr>
          <w:rFonts w:hint="eastAsia" w:ascii="宋体" w:hAnsi="宋体"/>
          <w:b/>
          <w:sz w:val="24"/>
        </w:rPr>
      </w:pPr>
      <w:r>
        <w:rPr>
          <w:rFonts w:hint="eastAsia" w:ascii="宋体" w:hAnsi="宋体"/>
          <w:b/>
          <w:sz w:val="24"/>
        </w:rPr>
        <w:t>（一）技术资料：</w:t>
      </w:r>
    </w:p>
    <w:p w14:paraId="65BB6877">
      <w:pPr>
        <w:spacing w:line="360" w:lineRule="auto"/>
        <w:ind w:firstLine="600" w:firstLineChars="250"/>
        <w:jc w:val="left"/>
        <w:rPr>
          <w:rFonts w:hint="eastAsia" w:ascii="宋体" w:hAnsi="宋体"/>
          <w:sz w:val="24"/>
        </w:rPr>
      </w:pPr>
      <w:r>
        <w:rPr>
          <w:rFonts w:hint="eastAsia" w:ascii="宋体" w:hAnsi="宋体"/>
          <w:sz w:val="24"/>
        </w:rPr>
        <w:t>1、产品合格证、</w:t>
      </w:r>
      <w:r>
        <w:rPr>
          <w:rFonts w:hint="eastAsia" w:hAnsi="宋体"/>
          <w:sz w:val="24"/>
          <w:lang w:val="en-US" w:eastAsia="zh-CN"/>
        </w:rPr>
        <w:t>检测报告、</w:t>
      </w:r>
      <w:r>
        <w:rPr>
          <w:rFonts w:hint="eastAsia" w:ascii="宋体" w:hAnsi="宋体"/>
          <w:sz w:val="24"/>
        </w:rPr>
        <w:t>商检证明</w:t>
      </w:r>
      <w:r>
        <w:rPr>
          <w:rFonts w:hint="eastAsia" w:hAnsi="宋体"/>
          <w:sz w:val="24"/>
          <w:lang w:val="en-US" w:eastAsia="zh-CN"/>
        </w:rPr>
        <w:t>等与产品相关资料</w:t>
      </w:r>
      <w:r>
        <w:rPr>
          <w:rFonts w:hint="eastAsia" w:ascii="宋体" w:hAnsi="宋体"/>
          <w:sz w:val="24"/>
        </w:rPr>
        <w:t>。</w:t>
      </w:r>
    </w:p>
    <w:p w14:paraId="7281EF3C">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23F6F6BC">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55787A43">
      <w:pPr>
        <w:spacing w:line="360" w:lineRule="auto"/>
        <w:ind w:firstLine="482" w:firstLineChars="200"/>
        <w:jc w:val="left"/>
        <w:rPr>
          <w:rFonts w:hint="eastAsia" w:ascii="宋体" w:hAnsi="宋体"/>
          <w:b/>
          <w:sz w:val="24"/>
        </w:rPr>
      </w:pPr>
      <w:r>
        <w:rPr>
          <w:rFonts w:hint="eastAsia" w:ascii="宋体" w:hAnsi="宋体"/>
          <w:b/>
          <w:sz w:val="24"/>
        </w:rPr>
        <w:t>（三）服务承诺：</w:t>
      </w:r>
    </w:p>
    <w:p w14:paraId="0DCFA44F">
      <w:pPr>
        <w:spacing w:line="360" w:lineRule="auto"/>
        <w:ind w:firstLine="600" w:firstLineChars="250"/>
        <w:jc w:val="left"/>
        <w:rPr>
          <w:rFonts w:hint="eastAsia" w:ascii="宋体" w:hAnsi="宋体"/>
          <w:bCs/>
          <w:sz w:val="24"/>
        </w:rPr>
      </w:pPr>
      <w:r>
        <w:rPr>
          <w:rFonts w:hint="eastAsia" w:ascii="宋体" w:hAnsi="宋体"/>
          <w:bCs/>
          <w:sz w:val="24"/>
        </w:rPr>
        <w:t>（此处填写内容应与响应文件一致）</w:t>
      </w:r>
    </w:p>
    <w:p w14:paraId="24AF8E9B">
      <w:pPr>
        <w:pStyle w:val="2"/>
        <w:numPr>
          <w:ilvl w:val="0"/>
          <w:numId w:val="1"/>
        </w:numPr>
        <w:ind w:left="0" w:leftChars="0" w:firstLine="482" w:firstLineChars="200"/>
        <w:rPr>
          <w:rFonts w:hint="eastAsia" w:ascii="宋体" w:hAnsi="宋体"/>
          <w:b/>
          <w:bCs w:val="0"/>
          <w:sz w:val="24"/>
          <w:lang w:val="en-US" w:eastAsia="zh-CN"/>
        </w:rPr>
      </w:pPr>
      <w:r>
        <w:rPr>
          <w:rFonts w:hint="eastAsia" w:ascii="宋体" w:hAnsi="宋体"/>
          <w:b/>
          <w:bCs w:val="0"/>
          <w:sz w:val="24"/>
          <w:lang w:val="en-US" w:eastAsia="zh-CN"/>
        </w:rPr>
        <w:t>技术服务：</w:t>
      </w:r>
    </w:p>
    <w:p w14:paraId="79A01C66">
      <w:pPr>
        <w:pStyle w:val="2"/>
        <w:numPr>
          <w:ilvl w:val="0"/>
          <w:numId w:val="1"/>
        </w:numPr>
        <w:spacing w:line="360" w:lineRule="auto"/>
        <w:ind w:left="0" w:leftChars="0" w:firstLine="480" w:firstLineChars="200"/>
        <w:rPr>
          <w:rFonts w:hint="default" w:ascii="宋体" w:hAnsi="宋体" w:eastAsia="宋体" w:cstheme="minorBidi"/>
          <w:sz w:val="24"/>
          <w:lang w:val="en-US" w:eastAsia="zh-CN" w:bidi="ar-SA"/>
        </w:rPr>
      </w:pPr>
      <w:r>
        <w:rPr>
          <w:rFonts w:hint="eastAsia" w:ascii="宋体" w:hAnsi="宋体" w:eastAsia="宋体" w:cstheme="minorBidi"/>
          <w:sz w:val="24"/>
          <w:lang w:val="en-US" w:eastAsia="zh-CN" w:bidi="ar-SA"/>
        </w:rPr>
        <w:t>由</w:t>
      </w:r>
      <w:r>
        <w:rPr>
          <w:rFonts w:hint="eastAsia" w:hAnsi="宋体" w:cstheme="minorBidi"/>
          <w:sz w:val="24"/>
          <w:lang w:val="en-US" w:eastAsia="zh-CN" w:bidi="ar-SA"/>
        </w:rPr>
        <w:t>乙方</w:t>
      </w:r>
      <w:r>
        <w:rPr>
          <w:rFonts w:hint="eastAsia" w:ascii="宋体" w:hAnsi="宋体" w:eastAsia="宋体" w:cstheme="minorBidi"/>
          <w:sz w:val="24"/>
          <w:lang w:val="en-US" w:eastAsia="zh-CN" w:bidi="ar-SA"/>
        </w:rPr>
        <w:t>负责设备的搬运、安装、连接和调试以及废弃物的处理。卖方对设备的搬运、安装、连接和调试以及废弃物的处理应符合我国有关规范和技术标准</w:t>
      </w:r>
    </w:p>
    <w:p w14:paraId="7963A5FE">
      <w:pPr>
        <w:spacing w:line="360" w:lineRule="auto"/>
        <w:jc w:val="left"/>
        <w:rPr>
          <w:rFonts w:hint="eastAsia" w:ascii="宋体" w:hAnsi="宋体"/>
          <w:b/>
          <w:sz w:val="24"/>
        </w:rPr>
      </w:pPr>
      <w:r>
        <w:rPr>
          <w:rFonts w:hint="eastAsia" w:ascii="宋体" w:hAnsi="宋体"/>
          <w:b/>
          <w:sz w:val="24"/>
          <w:lang w:val="en-US" w:eastAsia="zh-CN"/>
        </w:rPr>
        <w:t>十</w:t>
      </w:r>
      <w:r>
        <w:rPr>
          <w:rFonts w:hint="eastAsia" w:ascii="宋体" w:hAnsi="宋体"/>
          <w:b/>
          <w:sz w:val="24"/>
        </w:rPr>
        <w:t>、违约责任</w:t>
      </w:r>
    </w:p>
    <w:p w14:paraId="097FF16F">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5855B422">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0249378B">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47D7224F">
      <w:pPr>
        <w:spacing w:line="360" w:lineRule="auto"/>
        <w:jc w:val="left"/>
        <w:rPr>
          <w:rFonts w:hint="eastAsia" w:ascii="宋体" w:hAnsi="宋体"/>
          <w:b/>
          <w:sz w:val="24"/>
        </w:rPr>
      </w:pPr>
      <w:r>
        <w:rPr>
          <w:rFonts w:hint="eastAsia" w:ascii="宋体" w:hAnsi="宋体"/>
          <w:b/>
          <w:sz w:val="24"/>
          <w:lang w:val="en-US" w:eastAsia="zh-CN"/>
        </w:rPr>
        <w:t>十</w:t>
      </w:r>
      <w:r>
        <w:rPr>
          <w:rFonts w:hint="eastAsia" w:hAnsi="宋体"/>
          <w:b/>
          <w:sz w:val="24"/>
          <w:lang w:val="en-US" w:eastAsia="zh-CN"/>
        </w:rPr>
        <w:t>一</w:t>
      </w:r>
      <w:r>
        <w:rPr>
          <w:rFonts w:hint="eastAsia" w:ascii="宋体" w:hAnsi="宋体"/>
          <w:b/>
          <w:sz w:val="24"/>
        </w:rPr>
        <w:t>、验收</w:t>
      </w:r>
    </w:p>
    <w:p w14:paraId="2772D8A6">
      <w:pPr>
        <w:spacing w:line="360" w:lineRule="auto"/>
        <w:ind w:firstLine="480" w:firstLineChars="200"/>
        <w:jc w:val="left"/>
        <w:rPr>
          <w:rFonts w:hint="eastAsia" w:ascii="宋体" w:hAnsi="宋体"/>
          <w:sz w:val="24"/>
        </w:rPr>
      </w:pPr>
      <w:r>
        <w:rPr>
          <w:rFonts w:hint="eastAsia" w:ascii="宋体" w:hAnsi="宋体"/>
          <w:sz w:val="24"/>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w:t>
      </w:r>
      <w:r>
        <w:rPr>
          <w:rFonts w:hint="eastAsia" w:hAnsi="宋体"/>
          <w:sz w:val="24"/>
          <w:lang w:val="en-US" w:eastAsia="zh-CN"/>
        </w:rPr>
        <w:t>谈判</w:t>
      </w:r>
      <w:r>
        <w:rPr>
          <w:rFonts w:hint="eastAsia" w:ascii="宋体" w:hAnsi="宋体"/>
          <w:sz w:val="24"/>
        </w:rPr>
        <w:t>文件</w:t>
      </w:r>
      <w:r>
        <w:rPr>
          <w:rFonts w:hint="eastAsia" w:hAnsi="宋体"/>
          <w:sz w:val="24"/>
          <w:lang w:val="en-US" w:eastAsia="zh-CN"/>
        </w:rPr>
        <w:t>及谈判响应文件</w:t>
      </w:r>
      <w:r>
        <w:rPr>
          <w:rFonts w:hint="eastAsia" w:ascii="宋体" w:hAnsi="宋体"/>
          <w:sz w:val="24"/>
        </w:rPr>
        <w:t>、澄清、及国家相应的标准、规范等为依据。</w:t>
      </w:r>
    </w:p>
    <w:p w14:paraId="5F106E4D">
      <w:pPr>
        <w:spacing w:line="360" w:lineRule="auto"/>
        <w:jc w:val="left"/>
        <w:rPr>
          <w:rFonts w:hint="eastAsia" w:ascii="宋体" w:hAnsi="宋体"/>
          <w:b/>
          <w:sz w:val="24"/>
        </w:rPr>
      </w:pPr>
      <w:r>
        <w:rPr>
          <w:rFonts w:hint="eastAsia" w:ascii="宋体" w:hAnsi="宋体"/>
          <w:b/>
          <w:sz w:val="24"/>
        </w:rPr>
        <w:t>十二、其他事项</w:t>
      </w:r>
    </w:p>
    <w:p w14:paraId="298F69A2">
      <w:pPr>
        <w:spacing w:line="360" w:lineRule="auto"/>
        <w:ind w:firstLine="480" w:firstLineChars="200"/>
        <w:jc w:val="left"/>
        <w:rPr>
          <w:rFonts w:hint="eastAsia" w:ascii="宋体" w:hAnsi="宋体"/>
          <w:sz w:val="24"/>
        </w:rPr>
      </w:pPr>
      <w:r>
        <w:rPr>
          <w:rFonts w:hint="eastAsia" w:ascii="宋体" w:hAnsi="宋体"/>
          <w:sz w:val="24"/>
        </w:rPr>
        <w:t>（一）</w:t>
      </w:r>
      <w:r>
        <w:rPr>
          <w:rFonts w:hint="eastAsia" w:hAnsi="宋体"/>
          <w:sz w:val="24"/>
          <w:lang w:val="en-US" w:eastAsia="zh-CN"/>
        </w:rPr>
        <w:t>西安市莲湖区财政局</w:t>
      </w:r>
      <w:r>
        <w:rPr>
          <w:rFonts w:hint="eastAsia" w:ascii="宋体" w:hAnsi="宋体"/>
          <w:sz w:val="24"/>
        </w:rPr>
        <w:t>在合同的履行期间以及履行期后，可以随时检查项目的执行情况，对采购标准、采购内容进行调查核实，并对发现的问题进行处理。</w:t>
      </w:r>
    </w:p>
    <w:p w14:paraId="28C10E7F">
      <w:pPr>
        <w:spacing w:line="360" w:lineRule="auto"/>
        <w:ind w:left="120"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4BF17133">
      <w:pPr>
        <w:spacing w:line="360" w:lineRule="auto"/>
        <w:ind w:firstLine="480" w:firstLineChars="200"/>
        <w:jc w:val="left"/>
        <w:rPr>
          <w:rFonts w:hint="eastAsia" w:ascii="宋体" w:hAnsi="宋体"/>
          <w:sz w:val="24"/>
        </w:rPr>
      </w:pPr>
      <w:r>
        <w:rPr>
          <w:rFonts w:hint="eastAsia" w:ascii="宋体" w:hAnsi="宋体"/>
          <w:sz w:val="24"/>
        </w:rPr>
        <w:t>（三）</w:t>
      </w:r>
      <w:r>
        <w:rPr>
          <w:rFonts w:hint="eastAsia" w:hAnsi="宋体"/>
          <w:bCs/>
          <w:sz w:val="24"/>
          <w:lang w:val="en-US" w:eastAsia="zh-CN"/>
        </w:rPr>
        <w:t>谈判</w:t>
      </w:r>
      <w:r>
        <w:rPr>
          <w:rFonts w:hint="eastAsia" w:ascii="宋体" w:hAnsi="宋体"/>
          <w:bCs/>
          <w:sz w:val="24"/>
        </w:rPr>
        <w:t>文件、</w:t>
      </w:r>
      <w:r>
        <w:rPr>
          <w:rFonts w:hint="eastAsia" w:hAnsi="宋体"/>
          <w:bCs/>
          <w:sz w:val="24"/>
          <w:lang w:val="en-US" w:eastAsia="zh-CN"/>
        </w:rPr>
        <w:t>谈判响应文件</w:t>
      </w:r>
      <w:r>
        <w:rPr>
          <w:rFonts w:hint="eastAsia" w:ascii="宋体" w:hAnsi="宋体"/>
          <w:bCs/>
          <w:sz w:val="24"/>
        </w:rPr>
        <w:t>也是合同的组成部分，合同中未约定的以</w:t>
      </w:r>
      <w:r>
        <w:rPr>
          <w:rFonts w:hint="eastAsia" w:hAnsi="宋体"/>
          <w:bCs/>
          <w:sz w:val="24"/>
          <w:lang w:val="en-US" w:eastAsia="zh-CN"/>
        </w:rPr>
        <w:t>谈判</w:t>
      </w:r>
      <w:r>
        <w:rPr>
          <w:rFonts w:hint="eastAsia" w:ascii="宋体" w:hAnsi="宋体"/>
          <w:bCs/>
          <w:sz w:val="24"/>
        </w:rPr>
        <w:t>文件、</w:t>
      </w:r>
      <w:r>
        <w:rPr>
          <w:rFonts w:hint="eastAsia" w:hAnsi="宋体"/>
          <w:bCs/>
          <w:sz w:val="24"/>
          <w:lang w:val="en-US" w:eastAsia="zh-CN"/>
        </w:rPr>
        <w:t>谈判响应</w:t>
      </w:r>
      <w:r>
        <w:rPr>
          <w:rFonts w:hint="eastAsia" w:ascii="宋体" w:hAnsi="宋体"/>
          <w:bCs/>
          <w:sz w:val="24"/>
        </w:rPr>
        <w:t>文件为准。</w:t>
      </w:r>
    </w:p>
    <w:p w14:paraId="36A3019D">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1D511E25">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639101E0">
      <w:pPr>
        <w:spacing w:line="360" w:lineRule="auto"/>
        <w:jc w:val="left"/>
        <w:rPr>
          <w:rFonts w:hint="eastAsia" w:ascii="宋体" w:hAnsi="宋体"/>
          <w:sz w:val="24"/>
        </w:rPr>
      </w:pPr>
    </w:p>
    <w:p w14:paraId="2E419511">
      <w:pPr>
        <w:spacing w:line="360" w:lineRule="auto"/>
        <w:jc w:val="left"/>
        <w:rPr>
          <w:rFonts w:hint="eastAsia" w:ascii="宋体" w:hAnsi="宋体"/>
          <w:sz w:val="24"/>
        </w:rPr>
      </w:pPr>
    </w:p>
    <w:p w14:paraId="1704DF21">
      <w:pPr>
        <w:spacing w:line="360" w:lineRule="auto"/>
        <w:jc w:val="left"/>
        <w:rPr>
          <w:rFonts w:hint="eastAsia" w:ascii="宋体" w:hAnsi="宋体"/>
          <w:sz w:val="24"/>
        </w:rPr>
      </w:pPr>
      <w:r>
        <w:rPr>
          <w:rFonts w:hint="eastAsia" w:ascii="宋体" w:hAnsi="宋体"/>
          <w:sz w:val="24"/>
        </w:rPr>
        <w:t>甲    方                           乙    方</w:t>
      </w:r>
    </w:p>
    <w:p w14:paraId="30236D2E">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0B5F3BD5">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1627E76F">
      <w:pPr>
        <w:spacing w:line="360" w:lineRule="auto"/>
        <w:jc w:val="left"/>
        <w:rPr>
          <w:rFonts w:hint="eastAsia" w:ascii="宋体" w:hAnsi="宋体"/>
          <w:sz w:val="24"/>
        </w:rPr>
      </w:pPr>
    </w:p>
    <w:p w14:paraId="20A47900">
      <w:pPr>
        <w:spacing w:line="360" w:lineRule="auto"/>
        <w:jc w:val="left"/>
        <w:rPr>
          <w:rFonts w:hint="eastAsia" w:ascii="宋体" w:hAnsi="宋体"/>
          <w:sz w:val="24"/>
        </w:rPr>
      </w:pPr>
    </w:p>
    <w:p w14:paraId="2C578B8E">
      <w:pPr>
        <w:spacing w:line="360" w:lineRule="auto"/>
        <w:jc w:val="left"/>
        <w:rPr>
          <w:rFonts w:hint="eastAsia" w:ascii="宋体" w:hAnsi="宋体"/>
          <w:sz w:val="24"/>
        </w:rPr>
      </w:pPr>
      <w:r>
        <w:rPr>
          <w:rFonts w:hint="eastAsia" w:ascii="宋体" w:hAnsi="宋体"/>
          <w:sz w:val="24"/>
        </w:rPr>
        <w:t xml:space="preserve">法人代表：                         法人代表： </w:t>
      </w:r>
    </w:p>
    <w:p w14:paraId="2F303CBF">
      <w:pPr>
        <w:spacing w:line="360" w:lineRule="auto"/>
        <w:jc w:val="left"/>
        <w:rPr>
          <w:rFonts w:hint="eastAsia" w:ascii="宋体" w:hAnsi="宋体"/>
          <w:sz w:val="24"/>
        </w:rPr>
      </w:pPr>
    </w:p>
    <w:p w14:paraId="16666CC2">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0DC52264">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759583E2">
      <w:pPr>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2DB46937">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79245"/>
    <w:multiLevelType w:val="singleLevel"/>
    <w:tmpl w:val="04379245"/>
    <w:lvl w:ilvl="0" w:tentative="0">
      <w:start w:val="3"/>
      <w:numFmt w:val="chineseCounting"/>
      <w:suff w:val="nothing"/>
      <w:lvlText w:val="%1、"/>
      <w:lvlJc w:val="left"/>
      <w:rPr>
        <w:rFonts w:hint="eastAsia"/>
      </w:rPr>
    </w:lvl>
  </w:abstractNum>
  <w:abstractNum w:abstractNumId="1">
    <w:nsid w:val="1ECA046B"/>
    <w:multiLevelType w:val="singleLevel"/>
    <w:tmpl w:val="1ECA046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3MGMzNTNmNTRhOWZkYzA5MzJiY2RhMDdlODIxYjIifQ=="/>
  </w:docVars>
  <w:rsids>
    <w:rsidRoot w:val="263A247A"/>
    <w:rsid w:val="00242910"/>
    <w:rsid w:val="263A247A"/>
    <w:rsid w:val="3D013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jc w:val="both"/>
      <w:textAlignment w:val="baseline"/>
    </w:pPr>
    <w:rPr>
      <w:rFonts w:ascii="宋体" w:hAnsi="Times New Roman" w:eastAsia="宋体" w:cstheme="minorBidi"/>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character" w:customStyle="1" w:styleId="5">
    <w:name w:val="NormalCharacter"/>
    <w:link w:val="1"/>
    <w:qFormat/>
    <w:uiPriority w:val="0"/>
    <w:rPr>
      <w:rFonts w:ascii="宋体" w:hAnsi="Times New Roman" w:eastAsia="宋体" w:cstheme="minorBidi"/>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2029</Words>
  <Characters>2040</Characters>
  <Lines>0</Lines>
  <Paragraphs>0</Paragraphs>
  <TotalTime>5</TotalTime>
  <ScaleCrop>false</ScaleCrop>
  <LinksUpToDate>false</LinksUpToDate>
  <CharactersWithSpaces>2344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2024-07-05T11:39:00Z</dcterms:created>
  <dc:creator>¬_¬~EmiKo:D</dc:creator>
  <cp:lastModifiedBy>¬_¬~EmiKo:D</cp:lastModifiedBy>
  <dcterms:modified xsi:type="dcterms:W3CDTF">2025-08-15T02:44:30Z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3A3087908A974E159665EB4195215364_13</vt:lpwstr>
  </property>
</Properties>
</file>