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版本号：PLRH2025-GP-068F20250814002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购买零工驿站和零工市场第三方运营服务专项采购项目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PLRH2025-GP-068F</w:t>
      </w:r>
      <w:r>
        <w:br/>
      </w:r>
      <w:r>
        <w:br/>
      </w:r>
      <w:r>
        <w:br/>
      </w:r>
    </w:p>
    <w:p>
      <w:pPr>
        <w:pStyle w:val="null3"/>
        <w:jc w:val="center"/>
        <w:outlineLvl w:val="2"/>
      </w:pPr>
      <w:r>
        <w:rPr>
          <w:rFonts w:ascii="仿宋_GB2312" w:hAnsi="仿宋_GB2312" w:cs="仿宋_GB2312" w:eastAsia="仿宋_GB2312"/>
          <w:sz w:val="28"/>
          <w:b/>
        </w:rPr>
        <w:t>西安市莲湖区人力资源和社会保障局</w:t>
      </w:r>
    </w:p>
    <w:p>
      <w:pPr>
        <w:pStyle w:val="null3"/>
        <w:jc w:val="center"/>
        <w:outlineLvl w:val="2"/>
      </w:pPr>
      <w:r>
        <w:rPr>
          <w:rFonts w:ascii="仿宋_GB2312" w:hAnsi="仿宋_GB2312" w:cs="仿宋_GB2312" w:eastAsia="仿宋_GB2312"/>
          <w:sz w:val="28"/>
          <w:b/>
        </w:rPr>
        <w:t>鹏领睿恒（陕西）项目管理有限公司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鹏领睿恒（陕西）项目管理有限公司</w:t>
      </w:r>
      <w:r>
        <w:rPr>
          <w:rFonts w:ascii="仿宋_GB2312" w:hAnsi="仿宋_GB2312" w:cs="仿宋_GB2312" w:eastAsia="仿宋_GB2312"/>
        </w:rPr>
        <w:t>（以下简称“代理机构”）受</w:t>
      </w:r>
      <w:r>
        <w:rPr>
          <w:rFonts w:ascii="仿宋_GB2312" w:hAnsi="仿宋_GB2312" w:cs="仿宋_GB2312" w:eastAsia="仿宋_GB2312"/>
        </w:rPr>
        <w:t>西安市莲湖区人力资源和社会保障局</w:t>
      </w:r>
      <w:r>
        <w:rPr>
          <w:rFonts w:ascii="仿宋_GB2312" w:hAnsi="仿宋_GB2312" w:cs="仿宋_GB2312" w:eastAsia="仿宋_GB2312"/>
        </w:rPr>
        <w:t>委托，拟对</w:t>
      </w:r>
      <w:r>
        <w:rPr>
          <w:rFonts w:ascii="仿宋_GB2312" w:hAnsi="仿宋_GB2312" w:cs="仿宋_GB2312" w:eastAsia="仿宋_GB2312"/>
        </w:rPr>
        <w:t>购买零工驿站和零工市场第三方运营服务专项采购项目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PLRH2025-GP-068F</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购买零工驿站和零工市场第三方运营服务专项采购项目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深入推进稳就业工作开展，促进辖区各类求职群体实现多渠道就业，按照西安市人力资源和社会保障局等7部门转发《关于加强零工市场建设完善求职招聘服务的实施意见》的通知（市人社发〔2022〕25号）要求，目前，莲湖区已建成1个零工服务市场、2个零工服务驿站，为广大有零工就业需求的人员提供就业服务。为确保专业化服务运营，我区通过购买服务的方式，由第三方服务机构提供零工驿站及零工市场的专业化运营服务，促进辖区群众多渠道就业，为零工就业提供服务保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采购包1（购买零工驿站和零工市场第三方运营服务专项采购项目）：属于专门面向中小企业采购。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的经审计的财务会计报告（成立时间至提交磋商响应文件截止时间不足一年的可提供成立后任意时段的资产负债表），或其基本存款账户开户银行出具的资信证明及基本存款账户开户许可证（基本账户信息表）；（注：各供应商经审计的财务会计报告需赋加二维码）</w:t>
      </w:r>
    </w:p>
    <w:p>
      <w:pPr>
        <w:pStyle w:val="null3"/>
      </w:pPr>
      <w:r>
        <w:rPr>
          <w:rFonts w:ascii="仿宋_GB2312" w:hAnsi="仿宋_GB2312" w:cs="仿宋_GB2312" w:eastAsia="仿宋_GB2312"/>
        </w:rPr>
        <w:t>3、税收缴纳证明：提供2025年2月至今已缴纳的至少一个月的纳税证明或完税证明（任意税种），依法免税的单位应提供相关证明材料；</w:t>
      </w:r>
    </w:p>
    <w:p>
      <w:pPr>
        <w:pStyle w:val="null3"/>
      </w:pPr>
      <w:r>
        <w:rPr>
          <w:rFonts w:ascii="仿宋_GB2312" w:hAnsi="仿宋_GB2312" w:cs="仿宋_GB2312" w:eastAsia="仿宋_GB2312"/>
        </w:rPr>
        <w:t>4、社会保障资金缴纳证明：提供2025年2月至今已缴存的至少一个月的社会保障资金缴存单据或社保机构开具的社会保险参保缴费情况证明，依法不需要缴纳社会保障资金的单位应提供相关证明材料；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5、承诺：提供具有履行合同所必需的设备和专业技术能力的承诺；</w:t>
      </w:r>
    </w:p>
    <w:p>
      <w:pPr>
        <w:pStyle w:val="null3"/>
      </w:pPr>
      <w:r>
        <w:rPr>
          <w:rFonts w:ascii="仿宋_GB2312" w:hAnsi="仿宋_GB2312" w:cs="仿宋_GB2312" w:eastAsia="仿宋_GB2312"/>
        </w:rPr>
        <w:t>6、书面声明：参加政府采购活动前三年内，在经营活动中没有重大违法记录的书面声明；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7、法定代表人授权书/法定代表人身份证明：法定代表人授权书（附法定代表人、被授权人身份证复印件），法定代表人直接参加磋商，须提供法定代表人身份证明；</w:t>
      </w:r>
    </w:p>
    <w:p>
      <w:pPr>
        <w:pStyle w:val="null3"/>
      </w:pPr>
      <w:r>
        <w:rPr>
          <w:rFonts w:ascii="仿宋_GB2312" w:hAnsi="仿宋_GB2312" w:cs="仿宋_GB2312" w:eastAsia="仿宋_GB2312"/>
        </w:rPr>
        <w:t>8、信用记录：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9、联合体：本项目不接受联合体磋商；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西安市莲湖区人力资源和社会保障局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西安市莲湖区西稍门团结东路6号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029-88623173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鹏领睿恒（陕西）项目管理有限公司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西安市经济技术开发区元鼎路明丰伯马都A座1707室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029-65656686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国家发展和改革委员会办公厅颁发的《关于招标代理服务收费有关问题的通知》（发改办价格〔2003〕857号）的有关规定执行，不足8000元的，按8000元计取。2.支付方式：成交供应商应在领取通知书的同时，支付本项目代理服务费。收款账户如下：收款单位：鹏领睿恒(陕西)项目管理有限公司；开户银行：招商银行西安枫林绿洲支行； 银行账号：129911262210701。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西安市莲湖区人力资源和社会保障局</w:t>
      </w:r>
      <w:r>
        <w:rPr>
          <w:rFonts w:ascii="仿宋_GB2312" w:hAnsi="仿宋_GB2312" w:cs="仿宋_GB2312" w:eastAsia="仿宋_GB2312"/>
        </w:rPr>
        <w:t>和</w:t>
      </w:r>
      <w:r>
        <w:rPr>
          <w:rFonts w:ascii="仿宋_GB2312" w:hAnsi="仿宋_GB2312" w:cs="仿宋_GB2312" w:eastAsia="仿宋_GB2312"/>
        </w:rPr>
        <w:t>鹏领睿恒（陕西）项目管理有限公司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西安市莲湖区人力资源和社会保障局</w:t>
      </w:r>
      <w:r>
        <w:rPr>
          <w:rFonts w:ascii="仿宋_GB2312" w:hAnsi="仿宋_GB2312" w:cs="仿宋_GB2312" w:eastAsia="仿宋_GB2312"/>
        </w:rPr>
        <w:t>负责解释。除上述磋商文件内容，其他内容由</w:t>
      </w:r>
      <w:r>
        <w:rPr>
          <w:rFonts w:ascii="仿宋_GB2312" w:hAnsi="仿宋_GB2312" w:cs="仿宋_GB2312" w:eastAsia="仿宋_GB2312"/>
        </w:rPr>
        <w:t>鹏领睿恒（陕西）项目管理有限公司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西安市莲湖区人力资源和社会保障局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鹏领睿恒（陕西）项目管理有限公司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符合国家、行业相关法律法规及采购人需求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鹏领睿恒（陕西）项目管理有限公司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鹏领睿恒（陕西）项目管理有限公司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鹏领睿恒（陕西）项目管理有限公司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联系电话：029-65656686</w:t>
      </w:r>
    </w:p>
    <w:p>
      <w:pPr>
        <w:pStyle w:val="null3"/>
      </w:pPr>
      <w:r>
        <w:rPr>
          <w:rFonts w:ascii="仿宋_GB2312" w:hAnsi="仿宋_GB2312" w:cs="仿宋_GB2312" w:eastAsia="仿宋_GB2312"/>
        </w:rPr>
        <w:t>地址：西安市经济技术开发区元鼎路明丰伯马都A座1707室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深入推进稳就业工作开展，促进辖区各类求职群体实现多渠道就业，按照西安市人力资源和社会保障局等7部门转发《关于加强零工市场建设完善求职招聘服务的实施意见》的通知（市人社发〔2022〕25号）要求，目前，莲湖区已建成1个零工服务市场、2个零工服务驿站，为广大有零工就业需求的人员提供就业服务。为确保专业化服务运营，我区通过购买服务的方式，由第三方服务机构提供零工驿站及零工市场的专业化运营服务，促进辖区群众多渠道就业，为零工就业提供服务保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1,100,000.00</w:t>
      </w:r>
    </w:p>
    <w:p>
      <w:pPr>
        <w:pStyle w:val="null3"/>
      </w:pPr>
      <w:r>
        <w:rPr>
          <w:rFonts w:ascii="仿宋_GB2312" w:hAnsi="仿宋_GB2312" w:cs="仿宋_GB2312" w:eastAsia="仿宋_GB2312"/>
        </w:rPr>
        <w:t>采购包最高限价（元）: 1,100,000.00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购买零工驿站和零工市场第三方运营服务专项采购项目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标的名称：购买零工驿站和零工市场第三方运营服务专项采购项目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一、服务内容</w:t>
            </w:r>
          </w:p>
          <w:p>
            <w:pPr>
              <w:pStyle w:val="null3"/>
            </w:pPr>
            <w:r>
              <w:rPr>
                <w:rFonts w:ascii="仿宋_GB2312" w:hAnsi="仿宋_GB2312" w:cs="仿宋_GB2312" w:eastAsia="仿宋_GB2312"/>
              </w:rPr>
              <w:t>1.指派专人进行零工驿站和零工市场日常运营管理，组建服务团队为有零工就业需求的求职者进行政策咨询、岗位推荐、招聘会资讯推荐、培训咨询登记以及就业指导登记服务，竭力为有零工就业需求的求职者提供及时有效的服务。</w:t>
            </w:r>
          </w:p>
          <w:p>
            <w:pPr>
              <w:pStyle w:val="null3"/>
            </w:pPr>
            <w:r>
              <w:rPr>
                <w:rFonts w:ascii="仿宋_GB2312" w:hAnsi="仿宋_GB2312" w:cs="仿宋_GB2312" w:eastAsia="仿宋_GB2312"/>
              </w:rPr>
              <w:t>2.多渠道宣传零工驿站和零工市场，建立零工岗位信息发布群，负责零工就业服务群的日常运营维护，及时发布就业岗位及相关资讯。全年开展进小区、进社区宣传活动。</w:t>
            </w:r>
          </w:p>
          <w:p>
            <w:pPr>
              <w:pStyle w:val="null3"/>
            </w:pPr>
            <w:r>
              <w:rPr>
                <w:rFonts w:ascii="仿宋_GB2312" w:hAnsi="仿宋_GB2312" w:cs="仿宋_GB2312" w:eastAsia="仿宋_GB2312"/>
              </w:rPr>
              <w:t>3.建立零工岗位信息库，与企业进行日常对接，摸排征集企业用工需求，以驿站为中心，辐射半径3公里内企业，拓展零工就业岗位。</w:t>
            </w:r>
          </w:p>
          <w:p>
            <w:pPr>
              <w:pStyle w:val="null3"/>
            </w:pPr>
            <w:r>
              <w:rPr>
                <w:rFonts w:ascii="仿宋_GB2312" w:hAnsi="仿宋_GB2312" w:cs="仿宋_GB2312" w:eastAsia="仿宋_GB2312"/>
              </w:rPr>
              <w:t>4.结合实际开展零工专场招聘活动，搭建供需对接平台。高频次开展求职面对面活动，确保供需精准匹配。</w:t>
            </w:r>
          </w:p>
          <w:p>
            <w:pPr>
              <w:pStyle w:val="null3"/>
            </w:pPr>
            <w:r>
              <w:rPr>
                <w:rFonts w:ascii="仿宋_GB2312" w:hAnsi="仿宋_GB2312" w:cs="仿宋_GB2312" w:eastAsia="仿宋_GB2312"/>
              </w:rPr>
              <w:t>5.做好线上线下零工岗位发布，线下至少每月定期更新岗位发布栏，确保零工招聘岗位的鲜活度。线上依托新媒体平台，通过线上零工平台、微信公众号、物业群、求职群等方式，多渠道发布灵活用工岗位信息，促进零工招聘信息的广泛宣传推介。</w:t>
            </w:r>
          </w:p>
          <w:p>
            <w:pPr>
              <w:pStyle w:val="null3"/>
            </w:pPr>
            <w:r>
              <w:rPr>
                <w:rFonts w:ascii="仿宋_GB2312" w:hAnsi="仿宋_GB2312" w:cs="仿宋_GB2312" w:eastAsia="仿宋_GB2312"/>
              </w:rPr>
              <w:t>6.负责安排专人定期前往零工集中区域以及劳务市场，宣传和推介零工岗位，引导务工人员实现就业，并为务工人员进行政策宣传及岗位推荐。</w:t>
            </w:r>
          </w:p>
          <w:p>
            <w:pPr>
              <w:pStyle w:val="null3"/>
            </w:pPr>
            <w:r>
              <w:rPr>
                <w:rFonts w:ascii="仿宋_GB2312" w:hAnsi="仿宋_GB2312" w:cs="仿宋_GB2312" w:eastAsia="仿宋_GB2312"/>
              </w:rPr>
              <w:t>7.负责全职妈妈再就业服务，试点在辖区内选取1-2个街道提供全职妈妈再就业服务，为全职妈妈提供职业指导、岗位推荐、技能提升等服务内容。</w:t>
            </w:r>
          </w:p>
          <w:p>
            <w:pPr>
              <w:pStyle w:val="null3"/>
            </w:pPr>
            <w:r>
              <w:rPr>
                <w:rFonts w:ascii="仿宋_GB2312" w:hAnsi="仿宋_GB2312" w:cs="仿宋_GB2312" w:eastAsia="仿宋_GB2312"/>
              </w:rPr>
              <w:t>8.建立零工交付台账，各项零工活动均需留存完整台账记录与影像资料，确保服务过程有迹可循、清晰可查，做到服务信息的完整记录与可追溯，每月向人社局反馈。</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二、服务要求</w:t>
            </w:r>
          </w:p>
          <w:p>
            <w:pPr>
              <w:pStyle w:val="null3"/>
            </w:pPr>
            <w:r>
              <w:rPr>
                <w:rFonts w:ascii="仿宋_GB2312" w:hAnsi="仿宋_GB2312" w:cs="仿宋_GB2312" w:eastAsia="仿宋_GB2312"/>
              </w:rPr>
              <w:t>1.组建服务团队，指派专人负责驿站、市场日常运营。</w:t>
            </w:r>
          </w:p>
          <w:p>
            <w:pPr>
              <w:pStyle w:val="null3"/>
            </w:pPr>
            <w:r>
              <w:rPr>
                <w:rFonts w:ascii="仿宋_GB2312" w:hAnsi="仿宋_GB2312" w:cs="仿宋_GB2312" w:eastAsia="仿宋_GB2312"/>
              </w:rPr>
              <w:t>2.开展进社区宣传活动，全年不少于70场。</w:t>
            </w:r>
          </w:p>
          <w:p>
            <w:pPr>
              <w:pStyle w:val="null3"/>
            </w:pPr>
            <w:r>
              <w:rPr>
                <w:rFonts w:ascii="仿宋_GB2312" w:hAnsi="仿宋_GB2312" w:cs="仿宋_GB2312" w:eastAsia="仿宋_GB2312"/>
              </w:rPr>
              <w:t>3.拓展零工岗位10000个以上。</w:t>
            </w:r>
          </w:p>
          <w:p>
            <w:pPr>
              <w:pStyle w:val="null3"/>
            </w:pPr>
            <w:r>
              <w:rPr>
                <w:rFonts w:ascii="仿宋_GB2312" w:hAnsi="仿宋_GB2312" w:cs="仿宋_GB2312" w:eastAsia="仿宋_GB2312"/>
              </w:rPr>
              <w:t>4.开展零工专场招聘活动不少于18场，每场邀请企业不少于15家；开展求职面对面活动，不少于95场，每场邀约2-5家企业开展活动。</w:t>
            </w:r>
          </w:p>
          <w:p>
            <w:pPr>
              <w:pStyle w:val="null3"/>
            </w:pPr>
            <w:r>
              <w:rPr>
                <w:rFonts w:ascii="仿宋_GB2312" w:hAnsi="仿宋_GB2312" w:cs="仿宋_GB2312" w:eastAsia="仿宋_GB2312"/>
              </w:rPr>
              <w:t>5.所有活动须在合同期限内完成，招聘活动结束后三个月内，仍需对参会企业及个人进行跟踪服务，确保参会登记的求职者达成就业去向落实率不低于50%，并汇总资料提交至采购人。</w:t>
            </w:r>
          </w:p>
          <w:p>
            <w:pPr>
              <w:pStyle w:val="null3"/>
            </w:pPr>
            <w:r>
              <w:rPr>
                <w:rFonts w:ascii="仿宋_GB2312" w:hAnsi="仿宋_GB2312" w:cs="仿宋_GB2312" w:eastAsia="仿宋_GB2312"/>
              </w:rPr>
              <w:t>6.全年提供零工服务不少于1800人。</w:t>
            </w:r>
          </w:p>
          <w:p>
            <w:pPr>
              <w:pStyle w:val="null3"/>
            </w:pPr>
            <w:r>
              <w:rPr>
                <w:rFonts w:ascii="仿宋_GB2312" w:hAnsi="仿宋_GB2312" w:cs="仿宋_GB2312" w:eastAsia="仿宋_GB2312"/>
              </w:rPr>
              <w:t>7.负责线下现有岗位发布栏的更新发布，线上每月岗位发布不少于80条。</w:t>
            </w:r>
          </w:p>
          <w:p>
            <w:pPr>
              <w:pStyle w:val="null3"/>
            </w:pPr>
            <w:r>
              <w:rPr>
                <w:rFonts w:ascii="仿宋_GB2312" w:hAnsi="仿宋_GB2312" w:cs="仿宋_GB2312" w:eastAsia="仿宋_GB2312"/>
              </w:rPr>
              <w:t>8.零工网络平台服务全年发布零工岗位不少于10000个。</w:t>
            </w:r>
          </w:p>
          <w:p>
            <w:pPr>
              <w:pStyle w:val="null3"/>
            </w:pPr>
            <w:r>
              <w:rPr>
                <w:rFonts w:ascii="仿宋_GB2312" w:hAnsi="仿宋_GB2312" w:cs="仿宋_GB2312" w:eastAsia="仿宋_GB2312"/>
              </w:rPr>
              <w:t>9.征集适合全职妈妈的女性就业岗位不少于3000个，组织职业指导及技能培训不少于10场，帮助全职妈妈更好实现就业。</w:t>
            </w:r>
          </w:p>
          <w:p>
            <w:pPr>
              <w:pStyle w:val="null3"/>
            </w:pPr>
            <w:r>
              <w:rPr>
                <w:rFonts w:ascii="仿宋_GB2312" w:hAnsi="仿宋_GB2312" w:cs="仿宋_GB2312" w:eastAsia="仿宋_GB2312"/>
              </w:rPr>
              <w:t>10.所有活动场地协调、搭建、布置均由成交供应商负责。</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rPr>
              <w:t>三、商务要求</w:t>
            </w:r>
          </w:p>
          <w:p>
            <w:pPr>
              <w:pStyle w:val="null3"/>
            </w:pPr>
            <w:r>
              <w:rPr>
                <w:rFonts w:ascii="仿宋_GB2312" w:hAnsi="仿宋_GB2312" w:cs="仿宋_GB2312" w:eastAsia="仿宋_GB2312"/>
              </w:rPr>
              <w:t>1.服务地点：采购人指定地点。</w:t>
            </w:r>
          </w:p>
          <w:p>
            <w:pPr>
              <w:pStyle w:val="null3"/>
            </w:pPr>
            <w:r>
              <w:rPr>
                <w:rFonts w:ascii="仿宋_GB2312" w:hAnsi="仿宋_GB2312" w:cs="仿宋_GB2312" w:eastAsia="仿宋_GB2312"/>
              </w:rPr>
              <w:t>2.服务期：自合同签订之日起一年。</w:t>
            </w:r>
          </w:p>
          <w:p>
            <w:pPr>
              <w:pStyle w:val="null3"/>
            </w:pPr>
            <w:r>
              <w:rPr>
                <w:rFonts w:ascii="仿宋_GB2312" w:hAnsi="仿宋_GB2312" w:cs="仿宋_GB2312" w:eastAsia="仿宋_GB2312"/>
              </w:rPr>
              <w:t>3.成交供应商不得将项目转包或分包给第三方。</w:t>
            </w:r>
          </w:p>
          <w:p>
            <w:pPr>
              <w:pStyle w:val="null3"/>
            </w:pPr>
            <w:r>
              <w:rPr>
                <w:rFonts w:ascii="仿宋_GB2312" w:hAnsi="仿宋_GB2312" w:cs="仿宋_GB2312" w:eastAsia="仿宋_GB2312"/>
              </w:rPr>
              <w:t>4.付款方式：①合同签订后，支付合同金额的40%作为预付款；</w:t>
            </w:r>
          </w:p>
          <w:p>
            <w:pPr>
              <w:pStyle w:val="null3"/>
            </w:pPr>
            <w:r>
              <w:rPr>
                <w:rFonts w:ascii="仿宋_GB2312" w:hAnsi="仿宋_GB2312" w:cs="仿宋_GB2312" w:eastAsia="仿宋_GB2312"/>
              </w:rPr>
              <w:t>②完成所有服务项目进度的70%并验收合格后，支付合同总价的30%；</w:t>
            </w:r>
          </w:p>
          <w:p>
            <w:pPr>
              <w:pStyle w:val="null3"/>
            </w:pPr>
            <w:r>
              <w:rPr>
                <w:rFonts w:ascii="仿宋_GB2312" w:hAnsi="仿宋_GB2312" w:cs="仿宋_GB2312" w:eastAsia="仿宋_GB2312"/>
              </w:rPr>
              <w:t>③完成剩余服务项目并验收合格后，支付剩余合同价款。</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rPr>
              <w:t>四、其他</w:t>
            </w:r>
          </w:p>
          <w:p>
            <w:pPr>
              <w:pStyle w:val="null3"/>
            </w:pPr>
            <w:r>
              <w:rPr>
                <w:rFonts w:ascii="仿宋_GB2312" w:hAnsi="仿宋_GB2312" w:cs="仿宋_GB2312" w:eastAsia="仿宋_GB2312"/>
              </w:rPr>
              <w:t>成果交付要求：提供的就业服务成果符合国家的相关要求，各项就业相关服务成果标准达到双方合同约定。</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1.按国家、行业现行项目实施规范及采购人要求的验收评定标准等要求进行验收。 2.采购人进行验收，若认为验收不合格，供应商应重新调整且进行重新验收。 3.验收依据： ①本项目磋商文件、磋商响应文件； ②本合同及附件文本； ③合同签订时国家及行业现行的标准和技术规范。 ④供应商应向采购人提交项目实施过程中的所有资料，以便采购人日后整理汇总。 4.具体验收流程按照相关验收规定和合同内容开展。 5.需按照要求完成相关工作任务，完成率达到合同约定的80%以上，但未全部完成，扣除合同总金额的20%。</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合同签订后，支付合同金额的40%作为预付款</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完成所有服务项目进度的70%并验收合格后，支付合同总价的30%</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完成剩余服务项目并验收合格后，支付剩余合同价款</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违约责任：1.按《中华人民共和国民法典》中的相关条款执行。 2.如乙方所提供的服务内容出现瑕疵及质量问题，或乙方未按合同要求提供服务或服务不能满足合同要求，甲方有权依据《中华人民共和国民法典》有关条款及合同约定终止合同，并要求服务商承担违约责任。 3.甲乙双方应遵守合同并执行合同中的各项规定，保证合同的正常履行。 4.如碰到不可抗力因素造成无法按照原计划提供服务的，由甲乙双方协商解决。 解决争议的方法：合同执行中发生争议的，当事人双方应协商解决，协商达不成一致时，可向西安仲裁委员会申请仲裁。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1.本项目专门面向中小企业采购，供应商应为中小微企业或监狱企业或残疾人福利性单位。 2.本项目合同包1采购标的所属行业为：其他未列明行业； 3.本项目是否属于信用担保试点范围：否。 4.本项目为固定总价合同。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法人、其他组织或自然人，并出具合法有效的营业执照或事业单位法人证书等国家规定的相关证明，自然人参与的提供其身份证明；2.提供2025年2月至今已缴纳的至少一个月的纳税证明或完税证明（任意税种），依法免税的单位应提供相关证明材料；3.提供2025年2月至今已缴存的至少一个月的社会保障资金缴存单据或社保机构开具的社会保险参保缴费情况证明，依法不需要缴纳社会保障资金的单位应提供相关证明材料；4.提供具有履行合同所必需的设备和专业技术能力的承诺；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审计的财务会计报告（成立时间至提交磋商响应文件截止时间不足一年的可提供成立后任意时段的资产负债表），或其基本存款账户开户银行出具的资信证明及基本存款账户开户许可证（基本账户信息表）；（注：各供应商经审计的财务会计报告需赋加二维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经审计的财务会计报告（成立时间至提交磋商响应文件截止时间不足一年的可提供成立后任意时段的资产负债表），或其基本存款账户开户银行出具的资信证明及基本存款账户开户许可证（基本账户信息表）；（注：各供应商经审计的财务会计报告需赋加二维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提供2025年2月至今已缴纳的至少一个月的纳税证明或完税证明（任意税种），依法免税的单位应提供相关证明材料；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提供2025年2月至今已缴存的至少一个月的社会保障资金缴存单据或社保机构开具的社会保险参保缴费情况证明，依法不需要缴纳社会保障资金的单位应提供相关证明材料；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法定代表人授权书（附法定代表人、被授权人身份证复印件），法定代表人直接参加磋商，须提供法定代表人身份证明；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供应商参加政府采购活动承诺书.docx 业绩.docx 中小企业声明函 报价表 资格证明文件.docx 响应文件封面 残疾人福利性单位声明函 其它说明.docx 标的清单 响应函 商务条款偏离表.docx 监狱企业的证明文件 磋商方案.docx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是否专门面向中小企业</w:t>
            </w:r>
          </w:p>
        </w:tc>
        <w:tc>
          <w:tcPr>
            <w:tcW w:type="dxa" w:w="3322"/>
          </w:tcPr>
          <w:p>
            <w:pPr>
              <w:pStyle w:val="null3"/>
            </w:pPr>
            <w:r>
              <w:rPr>
                <w:rFonts w:ascii="仿宋_GB2312" w:hAnsi="仿宋_GB2312" w:cs="仿宋_GB2312" w:eastAsia="仿宋_GB2312"/>
              </w:rPr>
              <w:t>本项目专门面向中小企业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 供应商参加政府采购活动承诺书.docx 业绩.docx 中小企业声明函 残疾人福利性单位声明函 标的清单 报价表 响应函 资格证明文件.docx 商务条款偏离表.docx 监狱企业的证明文件 磋商方案.docx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磋商响应文件内容齐全、无遗漏（除评审因素外）</w:t>
            </w:r>
          </w:p>
        </w:tc>
        <w:tc>
          <w:tcPr>
            <w:tcW w:type="dxa" w:w="1661"/>
          </w:tcPr>
          <w:p>
            <w:pPr>
              <w:pStyle w:val="null3"/>
            </w:pPr>
            <w:r>
              <w:rPr>
                <w:rFonts w:ascii="仿宋_GB2312" w:hAnsi="仿宋_GB2312" w:cs="仿宋_GB2312" w:eastAsia="仿宋_GB2312"/>
              </w:rPr>
              <w:t>其它说明.docx 响应函 商务条款偏离表.docx 磋商方案.docx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其它说明.docx 响应函 商务条款偏离表.docx 磋商方案.docx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其它说明.docx 响应函 商务条款偏离表.docx 磋商方案.docx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其它说明.docx 响应函 商务条款偏离表.docx 磋商方案.docx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线下运营方案</w:t>
            </w:r>
          </w:p>
        </w:tc>
        <w:tc>
          <w:tcPr>
            <w:tcW w:type="dxa" w:w="2492"/>
          </w:tcPr>
          <w:p>
            <w:pPr>
              <w:pStyle w:val="null3"/>
            </w:pPr>
            <w:r>
              <w:rPr>
                <w:rFonts w:ascii="仿宋_GB2312" w:hAnsi="仿宋_GB2312" w:cs="仿宋_GB2312" w:eastAsia="仿宋_GB2312"/>
              </w:rPr>
              <w:t>线下场地搭建方案配置合理规范，设置相应活动分区，就业服务运营方案详细合理，可行性及针对性强得7-10分。 线下场地搭建方案配置较合理，设置活动分区较少，就业服务运营方案较详细合理，可行性及针对性较强得4-7分（含7分）； 线下场地搭建方案配置较简洁，设置活动分区较混乱，就业服务运营方案较简略，可行性及针对性较差得1-4分（含4分）。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线上运营方案</w:t>
            </w:r>
          </w:p>
        </w:tc>
        <w:tc>
          <w:tcPr>
            <w:tcW w:type="dxa" w:w="2492"/>
          </w:tcPr>
          <w:p>
            <w:pPr>
              <w:pStyle w:val="null3"/>
            </w:pPr>
            <w:r>
              <w:rPr>
                <w:rFonts w:ascii="仿宋_GB2312" w:hAnsi="仿宋_GB2312" w:cs="仿宋_GB2312" w:eastAsia="仿宋_GB2312"/>
              </w:rPr>
              <w:t>线上运营方案科学合理，描述清晰，且能针对性满足项目需求，完整及可执行性高得7-10分； 线上运营方案的较为合理、完整及可执行性一般得4-7分（含7分）； 线上运营方案的合理性欠缺、完整性及可执行性低得1-4分（含4分）。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有详细的进度计划和保证措施，且有针对性和可行性的保障措施得7-10分； 进度控制目标较明确，且针对性和可行性较强得4-7分（含7分）； 进度控制目标不明确得1-4分（含4分）。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组织计划和人员构成</w:t>
            </w:r>
          </w:p>
        </w:tc>
        <w:tc>
          <w:tcPr>
            <w:tcW w:type="dxa" w:w="2492"/>
          </w:tcPr>
          <w:p>
            <w:pPr>
              <w:pStyle w:val="null3"/>
            </w:pPr>
            <w:r>
              <w:rPr>
                <w:rFonts w:ascii="仿宋_GB2312" w:hAnsi="仿宋_GB2312" w:cs="仿宋_GB2312" w:eastAsia="仿宋_GB2312"/>
              </w:rPr>
              <w:t>组织机构设置合理，管理人员及相关技术人员配备数量充足、人员职责明确、分工清晰合理、相关项目实施经验丰富，得7-10分； 组织机构设置较为合理，管理人员及相关技术人员配备数量较充足、职责较明确、分工较清晰合理、相关项目实施经验较丰富，得4-7分（含7分）； 组织机构设置一般，管理人员及相关技术人员配备数量不够充足、职责不够明确、分工不够清晰合理，不具备相关项目实施经验，得1-4分（含4分）；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针对本项目采购需求，提供拟投入的设备充足，能较好地满足场地使用及运营使用需求得3-6分； 拟投入设备较少，不能较好地满足场地使用及运营使用需求得1-3分（含3分）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质量控制措施完善、合理、切实可行得7-10分； 质量控制措施较为完善、合理、切实可行得4-7分（含7分）； 质量控制措施较混乱、但可行性较差或无质量控制措施得1-4分（含4分）。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突发事件应急预案及合理化建议</w:t>
            </w:r>
          </w:p>
        </w:tc>
        <w:tc>
          <w:tcPr>
            <w:tcW w:type="dxa" w:w="2492"/>
          </w:tcPr>
          <w:p>
            <w:pPr>
              <w:pStyle w:val="null3"/>
            </w:pPr>
            <w:r>
              <w:rPr>
                <w:rFonts w:ascii="仿宋_GB2312" w:hAnsi="仿宋_GB2312" w:cs="仿宋_GB2312" w:eastAsia="仿宋_GB2312"/>
              </w:rPr>
              <w:t>突发事件应急预案不限于突发情况、安全保障方案和人员调配能力方案等方面，突发事件应急预案及合理化建议详细，实用，切实可行得7-10分； 突发事件应急预案及合理化建议，可行性较强得4-7分（含7分）； 突发事件应急预案及合理化建议，可行性较差得1-4分（含4分）。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具有完善的保密措施和保密方案，从管理、人员、技术、成果文件等各个方面，全面保证采购人数据及相关信息不泄密，保密承诺详细可行得3-5分；保密方案简略，可行性较差得1-3分（含3分）。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针对本项目的服务承诺，包括但不限于服务品质、人员到位情况、后期资料汇总等配套服务等。 各投标人服务承诺，承诺事项具体、可行、可操作性强得3-5分； 承诺事项较具体可行，可操作性较强得1-3分（含3分）。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内部管理</w:t>
            </w:r>
          </w:p>
        </w:tc>
        <w:tc>
          <w:tcPr>
            <w:tcW w:type="dxa" w:w="2492"/>
          </w:tcPr>
          <w:p>
            <w:pPr>
              <w:pStyle w:val="null3"/>
            </w:pPr>
            <w:r>
              <w:rPr>
                <w:rFonts w:ascii="仿宋_GB2312" w:hAnsi="仿宋_GB2312" w:cs="仿宋_GB2312" w:eastAsia="仿宋_GB2312"/>
              </w:rPr>
              <w:t>供应商具有清晰明确的内部管理架构、管理理念、激励机制、信息反馈渠道齐全、合理、切实可行得3-6分；内部管理架构、管理理念、激励机制、信息反馈渠道较齐全，但可行性差或无相关管理制度可行得1-3分（含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01月01日至今类似项目业绩，每提供1份计2分，最高得8分；业绩证明（以合同（协议）或中标（成交）通知书为准，须在磋商响应文件中附合同（协议）或中标（成交）通知书的扫描件加盖单位公章）弄虚作假者，取消其成交资格。</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策性扣减的供应商的有效磋商价格进行政策性扣减，并依据扣减后的价格（评审价格）进行价格评审。2.满足磋商文件实质性要求且最终报价最低的供应商的价格为磋商基准价，其价格分10分。3.磋商报价得分=（磋商基准价/最终磋商报价）×10的公式计算得分。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详见附件：其它说明.docx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详见附件：西安市莲湖区人力资源和社会保障局购买零工驿站和零工市场第三方运营服务专项采购项目采购合同.docx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